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1A9E" w:rsidP="006F1A9E">
      <w:pPr>
        <w:pStyle w:val="Title"/>
      </w:pPr>
      <w:r>
        <w:fldChar w:fldCharType="begin"/>
      </w:r>
      <w:r>
        <w:instrText xml:space="preserve"> TITLE   \* MERGEFORMAT </w:instrText>
      </w:r>
      <w:r>
        <w:fldChar w:fldCharType="separate"/>
      </w:r>
      <w:r>
        <w:t>MSFGG2001 Use glass and glazing sector hand and power tools</w:t>
      </w:r>
      <w:r>
        <w:fldChar w:fldCharType="end"/>
      </w:r>
    </w:p>
    <w:p w:rsidR="006F1A9E" w:rsidP="006F1A9E">
      <w:pPr>
        <w:pStyle w:val="Version"/>
        <w:sectPr w:rsidSect="001F6F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6F52" w:rsidP="001F6F52">
      <w:pPr>
        <w:pStyle w:val="SuperHeading"/>
      </w:pPr>
      <w:r w:rsidRPr="001F6F52">
        <w:t>MSFGG2001 Use glass and glazing sector hand and power tools</w:t>
      </w:r>
    </w:p>
    <w:p w:rsidR="00000000" w:rsidRPr="001F6F52" w:rsidP="001F6F52">
      <w:pPr>
        <w:pStyle w:val="Heading1"/>
      </w:pPr>
      <w:bookmarkStart w:id="1" w:name="O_631033"/>
      <w:bookmarkEnd w:id="1"/>
      <w:r w:rsidRPr="001F6F52">
        <w:t>Modification History</w:t>
      </w:r>
    </w:p>
    <w:p w:rsidR="00000000" w:rsidRPr="001F6F52" w:rsidP="006F1A9E">
      <w:pPr>
        <w:pStyle w:val="BodyText"/>
      </w:pPr>
      <w:r w:rsidRPr="001F6F52">
        <w:t>Release 1 - New unit of competency</w:t>
      </w:r>
    </w:p>
    <w:p w:rsidR="00000000" w:rsidRPr="001F6F52" w:rsidP="001F6F52">
      <w:pPr>
        <w:pStyle w:val="Heading1"/>
      </w:pPr>
      <w:bookmarkStart w:id="2" w:name="O_631041"/>
      <w:bookmarkEnd w:id="2"/>
      <w:r w:rsidRPr="001F6F52">
        <w:t>Application</w:t>
      </w:r>
    </w:p>
    <w:p w:rsidR="00000000" w:rsidRPr="001F6F52" w:rsidP="006F1A9E">
      <w:pPr>
        <w:pStyle w:val="BodyText"/>
      </w:pPr>
      <w:r w:rsidRPr="001F6F52">
        <w:t>This unit of competency covers selecting and using hand and power tools in applications relating to the glass and glazing sector of the furnishing industry</w:t>
      </w:r>
      <w:r w:rsidRPr="001F6F52">
        <w:t>, including basic aluminium fabrication.</w:t>
      </w:r>
    </w:p>
    <w:p w:rsidR="00000000" w:rsidRPr="001F6F52" w:rsidP="006F1A9E">
      <w:pPr>
        <w:pStyle w:val="BodyText"/>
      </w:pPr>
      <w:r w:rsidRPr="001F6F52">
        <w:t>No licensing, legislative or certification requirements apply to this unit at the time of publication.</w:t>
      </w:r>
    </w:p>
    <w:p w:rsidR="00000000" w:rsidRPr="001F6F52" w:rsidP="001F6F52">
      <w:pPr>
        <w:pStyle w:val="Heading1"/>
      </w:pPr>
      <w:bookmarkStart w:id="3" w:name="O_631040"/>
      <w:bookmarkEnd w:id="3"/>
      <w:r w:rsidRPr="001F6F52">
        <w:t>Pre-requisite Unit</w:t>
      </w:r>
    </w:p>
    <w:p w:rsidR="00000000" w:rsidRPr="001F6F52" w:rsidP="001F6F52">
      <w:pPr>
        <w:pStyle w:val="Heading1"/>
      </w:pPr>
      <w:bookmarkStart w:id="4" w:name="O_631039"/>
      <w:bookmarkEnd w:id="4"/>
      <w:r w:rsidRPr="001F6F52">
        <w:t>Competency Field</w:t>
      </w:r>
    </w:p>
    <w:p w:rsidR="00000000" w:rsidRPr="001F6F52" w:rsidP="001F6F52">
      <w:pPr>
        <w:pStyle w:val="Heading1"/>
      </w:pPr>
      <w:bookmarkStart w:id="5" w:name="O_631038"/>
      <w:bookmarkEnd w:id="5"/>
      <w:r w:rsidRPr="001F6F52">
        <w:t>Unit Sector</w:t>
      </w:r>
    </w:p>
    <w:p w:rsidR="00000000" w:rsidRPr="001F6F52" w:rsidP="006F1A9E">
      <w:pPr>
        <w:pStyle w:val="BodyText"/>
      </w:pPr>
      <w:r w:rsidRPr="001F6F52">
        <w:t>Glass and Glaz</w:t>
      </w:r>
      <w:r w:rsidRPr="001F6F52">
        <w:t>ing</w:t>
      </w:r>
    </w:p>
    <w:p w:rsidR="00000000" w:rsidRPr="001F6F52" w:rsidP="001F6F52">
      <w:pPr>
        <w:pStyle w:val="Heading1"/>
      </w:pPr>
      <w:bookmarkStart w:id="6" w:name="O_631037"/>
      <w:bookmarkEnd w:id="6"/>
      <w:r w:rsidRPr="001F6F52">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1F6F52">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1F6F52">
            <w:pPr>
              <w:pStyle w:val="BodyText"/>
              <w:rPr>
                <w:lang w:val="en-NZ"/>
              </w:rPr>
            </w:pPr>
            <w:r w:rsidRPr="001F6F52">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1F6F52">
            <w:pPr>
              <w:pStyle w:val="BodyText"/>
              <w:rPr>
                <w:lang w:val="en-NZ"/>
              </w:rPr>
            </w:pPr>
            <w:r w:rsidRPr="001F6F52">
              <w:t>Performance criteria describe the performance needed to demonstrate achievement of the element.</w:t>
            </w:r>
          </w:p>
        </w:tc>
      </w:tr>
      <w:tr w:rsidTr="001F6F5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1F6F52">
            <w:pPr>
              <w:pStyle w:val="BodyText"/>
              <w:rPr>
                <w:lang w:val="en-NZ"/>
              </w:rPr>
            </w:pPr>
            <w:r w:rsidRPr="001F6F52">
              <w:t>1</w:t>
            </w:r>
          </w:p>
        </w:tc>
        <w:tc>
          <w:tcPr>
            <w:tcW w:w="2219" w:type="dxa"/>
            <w:tcBorders>
              <w:top w:val="nil"/>
              <w:left w:val="nil"/>
              <w:bottom w:val="nil"/>
              <w:right w:val="nil"/>
            </w:tcBorders>
            <w:tcMar>
              <w:top w:w="0" w:type="dxa"/>
              <w:left w:w="62" w:type="dxa"/>
              <w:bottom w:w="0" w:type="dxa"/>
              <w:right w:w="62" w:type="dxa"/>
            </w:tcMar>
          </w:tcPr>
          <w:p w:rsidR="00000000" w:rsidP="001F6F52">
            <w:pPr>
              <w:pStyle w:val="BodyText"/>
              <w:rPr>
                <w:lang w:val="en-NZ"/>
              </w:rPr>
            </w:pPr>
            <w:r w:rsidRPr="001F6F52">
              <w:t>Identify hand and power tools</w:t>
            </w:r>
          </w:p>
        </w:tc>
        <w:tc>
          <w:tcPr>
            <w:tcW w:w="661" w:type="dxa"/>
            <w:tcBorders>
              <w:top w:val="nil"/>
              <w:left w:val="nil"/>
              <w:bottom w:val="nil"/>
              <w:right w:val="nil"/>
            </w:tcBorders>
            <w:tcMar>
              <w:top w:w="0" w:type="dxa"/>
              <w:left w:w="62" w:type="dxa"/>
              <w:bottom w:w="0" w:type="dxa"/>
              <w:right w:w="62" w:type="dxa"/>
            </w:tcMar>
          </w:tcPr>
          <w:p w:rsidR="00000000" w:rsidP="001F6F52">
            <w:pPr>
              <w:pStyle w:val="BodyText"/>
              <w:rPr>
                <w:lang w:val="en-NZ"/>
              </w:rPr>
            </w:pPr>
            <w:r w:rsidRPr="001F6F52">
              <w:t>1.1</w:t>
            </w:r>
          </w:p>
        </w:tc>
        <w:tc>
          <w:tcPr>
            <w:tcW w:w="5866" w:type="dxa"/>
            <w:tcBorders>
              <w:top w:val="nil"/>
              <w:left w:val="nil"/>
              <w:bottom w:val="nil"/>
              <w:right w:val="nil"/>
            </w:tcBorders>
            <w:tcMar>
              <w:top w:w="0" w:type="dxa"/>
              <w:left w:w="62" w:type="dxa"/>
              <w:bottom w:w="0" w:type="dxa"/>
              <w:right w:w="62" w:type="dxa"/>
            </w:tcMar>
          </w:tcPr>
          <w:p w:rsidR="00000000" w:rsidP="001F6F52">
            <w:pPr>
              <w:pStyle w:val="BodyText"/>
              <w:rPr>
                <w:lang w:val="en-NZ"/>
              </w:rPr>
            </w:pPr>
            <w:r w:rsidRPr="001F6F52">
              <w:t>Types of hand and power tools and their functions are identified</w:t>
            </w:r>
          </w:p>
        </w:tc>
      </w:tr>
      <w:tr w:rsidTr="001F6F5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F6F52">
            <w:pPr>
              <w:pStyle w:val="BodyText"/>
              <w:rPr>
                <w:lang w:val="en-NZ"/>
              </w:rPr>
            </w:pPr>
            <w:r w:rsidRPr="001F6F52">
              <w:t>1.2</w:t>
            </w:r>
          </w:p>
        </w:tc>
        <w:tc>
          <w:tcPr>
            <w:tcW w:w="5866" w:type="dxa"/>
            <w:tcBorders>
              <w:top w:val="nil"/>
              <w:left w:val="nil"/>
              <w:bottom w:val="nil"/>
              <w:right w:val="nil"/>
            </w:tcBorders>
            <w:tcMar>
              <w:top w:w="0" w:type="dxa"/>
              <w:left w:w="62" w:type="dxa"/>
              <w:bottom w:w="0" w:type="dxa"/>
              <w:right w:w="62" w:type="dxa"/>
            </w:tcMar>
          </w:tcPr>
          <w:p w:rsidR="00000000" w:rsidP="001F6F52">
            <w:pPr>
              <w:pStyle w:val="BodyText"/>
              <w:rPr>
                <w:lang w:val="en-NZ"/>
              </w:rPr>
            </w:pPr>
            <w:r w:rsidRPr="001F6F52">
              <w:t>Sources of, and access to, power supply are recognised and used safely</w:t>
            </w:r>
          </w:p>
        </w:tc>
      </w:tr>
      <w:tr w:rsidTr="001F6F5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F6F52">
            <w:pPr>
              <w:pStyle w:val="BodyText"/>
              <w:rPr>
                <w:lang w:val="en-NZ"/>
              </w:rPr>
            </w:pPr>
            <w:r w:rsidRPr="001F6F52">
              <w:t>1.3</w:t>
            </w:r>
          </w:p>
        </w:tc>
        <w:tc>
          <w:tcPr>
            <w:tcW w:w="5866" w:type="dxa"/>
            <w:tcBorders>
              <w:top w:val="nil"/>
              <w:left w:val="nil"/>
              <w:bottom w:val="nil"/>
              <w:right w:val="nil"/>
            </w:tcBorders>
            <w:tcMar>
              <w:top w:w="0" w:type="dxa"/>
              <w:left w:w="62" w:type="dxa"/>
              <w:bottom w:w="0" w:type="dxa"/>
              <w:right w:w="62" w:type="dxa"/>
            </w:tcMar>
          </w:tcPr>
          <w:p w:rsidR="00000000" w:rsidP="001F6F52">
            <w:pPr>
              <w:pStyle w:val="BodyText"/>
              <w:rPr>
                <w:lang w:val="en-NZ"/>
              </w:rPr>
            </w:pPr>
            <w:r w:rsidRPr="001F6F52">
              <w:t>Work health and safety (WHS) requirements for using hand and power tools are recognised and implemented</w:t>
            </w:r>
          </w:p>
        </w:tc>
      </w:tr>
      <w:tr w:rsidTr="001F6F5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1F6F52">
            <w:pPr>
              <w:pStyle w:val="BodyText"/>
              <w:rPr>
                <w:lang w:val="en-NZ"/>
              </w:rPr>
            </w:pPr>
            <w:r w:rsidRPr="001F6F52">
              <w:t>2</w:t>
            </w:r>
          </w:p>
        </w:tc>
        <w:tc>
          <w:tcPr>
            <w:tcW w:w="2219" w:type="dxa"/>
            <w:tcBorders>
              <w:top w:val="nil"/>
              <w:left w:val="nil"/>
              <w:bottom w:val="nil"/>
              <w:right w:val="nil"/>
            </w:tcBorders>
            <w:tcMar>
              <w:top w:w="0" w:type="dxa"/>
              <w:left w:w="62" w:type="dxa"/>
              <w:bottom w:w="0" w:type="dxa"/>
              <w:right w:w="62" w:type="dxa"/>
            </w:tcMar>
          </w:tcPr>
          <w:p w:rsidR="00000000" w:rsidP="001F6F52">
            <w:pPr>
              <w:pStyle w:val="BodyText"/>
              <w:rPr>
                <w:lang w:val="en-NZ"/>
              </w:rPr>
            </w:pPr>
            <w:r w:rsidRPr="001F6F52">
              <w:t>Select and use hand tools</w:t>
            </w:r>
          </w:p>
        </w:tc>
        <w:tc>
          <w:tcPr>
            <w:tcW w:w="661" w:type="dxa"/>
            <w:tcBorders>
              <w:top w:val="nil"/>
              <w:left w:val="nil"/>
              <w:bottom w:val="nil"/>
              <w:right w:val="nil"/>
            </w:tcBorders>
            <w:tcMar>
              <w:top w:w="0" w:type="dxa"/>
              <w:left w:w="62" w:type="dxa"/>
              <w:bottom w:w="0" w:type="dxa"/>
              <w:right w:w="62" w:type="dxa"/>
            </w:tcMar>
          </w:tcPr>
          <w:p w:rsidR="00000000" w:rsidP="001F6F52">
            <w:pPr>
              <w:pStyle w:val="BodyText"/>
              <w:rPr>
                <w:lang w:val="en-NZ"/>
              </w:rPr>
            </w:pPr>
            <w:r w:rsidRPr="001F6F52">
              <w:t>2.1</w:t>
            </w:r>
          </w:p>
        </w:tc>
        <w:tc>
          <w:tcPr>
            <w:tcW w:w="5866" w:type="dxa"/>
            <w:tcBorders>
              <w:top w:val="nil"/>
              <w:left w:val="nil"/>
              <w:bottom w:val="nil"/>
              <w:right w:val="nil"/>
            </w:tcBorders>
            <w:tcMar>
              <w:top w:w="0" w:type="dxa"/>
              <w:left w:w="62" w:type="dxa"/>
              <w:bottom w:w="0" w:type="dxa"/>
              <w:right w:w="62" w:type="dxa"/>
            </w:tcMar>
          </w:tcPr>
          <w:p w:rsidR="00000000" w:rsidP="001F6F52">
            <w:pPr>
              <w:pStyle w:val="BodyText"/>
              <w:rPr>
                <w:lang w:val="en-NZ"/>
              </w:rPr>
            </w:pPr>
            <w:r w:rsidRPr="001F6F52">
              <w:t>Hand tools are selected consistent with needs of job</w:t>
            </w:r>
          </w:p>
        </w:tc>
      </w:tr>
      <w:tr w:rsidTr="001F6F5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F6F52">
            <w:pPr>
              <w:pStyle w:val="BodyText"/>
              <w:rPr>
                <w:lang w:val="en-NZ"/>
              </w:rPr>
            </w:pPr>
            <w:r w:rsidRPr="001F6F52">
              <w:t>2.2</w:t>
            </w:r>
          </w:p>
        </w:tc>
        <w:tc>
          <w:tcPr>
            <w:tcW w:w="5866" w:type="dxa"/>
            <w:tcBorders>
              <w:top w:val="nil"/>
              <w:left w:val="nil"/>
              <w:bottom w:val="nil"/>
              <w:right w:val="nil"/>
            </w:tcBorders>
            <w:tcMar>
              <w:top w:w="0" w:type="dxa"/>
              <w:left w:w="62" w:type="dxa"/>
              <w:bottom w:w="0" w:type="dxa"/>
              <w:right w:w="62" w:type="dxa"/>
            </w:tcMar>
          </w:tcPr>
          <w:p w:rsidR="00000000" w:rsidP="001F6F52">
            <w:pPr>
              <w:pStyle w:val="BodyText"/>
              <w:rPr>
                <w:lang w:val="en-NZ"/>
              </w:rPr>
            </w:pPr>
            <w:r w:rsidRPr="001F6F52">
              <w:t>Hand tools are checked for serviceability and safety and any faults reported to supervisor in accordance with enterprise procedures</w:t>
            </w:r>
          </w:p>
        </w:tc>
      </w:tr>
      <w:tr w:rsidTr="001F6F5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F6F52">
            <w:pPr>
              <w:pStyle w:val="BodyText"/>
              <w:rPr>
                <w:lang w:val="en-NZ"/>
              </w:rPr>
            </w:pPr>
            <w:r w:rsidRPr="001F6F52">
              <w:t>2.3</w:t>
            </w:r>
          </w:p>
        </w:tc>
        <w:tc>
          <w:tcPr>
            <w:tcW w:w="5866" w:type="dxa"/>
            <w:tcBorders>
              <w:top w:val="nil"/>
              <w:left w:val="nil"/>
              <w:bottom w:val="nil"/>
              <w:right w:val="nil"/>
            </w:tcBorders>
            <w:tcMar>
              <w:top w:w="0" w:type="dxa"/>
              <w:left w:w="62" w:type="dxa"/>
              <w:bottom w:w="0" w:type="dxa"/>
              <w:right w:w="62" w:type="dxa"/>
            </w:tcMar>
          </w:tcPr>
          <w:p w:rsidR="00000000" w:rsidP="001F6F52">
            <w:pPr>
              <w:pStyle w:val="BodyText"/>
              <w:rPr>
                <w:lang w:val="en-NZ"/>
              </w:rPr>
            </w:pPr>
            <w:r w:rsidRPr="001F6F52">
              <w:t>Equipment is selected to h</w:t>
            </w:r>
            <w:r w:rsidRPr="001F6F52">
              <w:t>old, position or support material for hand tool application, where applicable</w:t>
            </w:r>
          </w:p>
        </w:tc>
      </w:tr>
      <w:tr w:rsidTr="001F6F5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F6F52">
            <w:pPr>
              <w:pStyle w:val="BodyText"/>
              <w:rPr>
                <w:lang w:val="en-NZ"/>
              </w:rPr>
            </w:pPr>
            <w:r w:rsidRPr="001F6F52">
              <w:t>2.4</w:t>
            </w:r>
          </w:p>
        </w:tc>
        <w:tc>
          <w:tcPr>
            <w:tcW w:w="5866" w:type="dxa"/>
            <w:tcBorders>
              <w:top w:val="nil"/>
              <w:left w:val="nil"/>
              <w:bottom w:val="nil"/>
              <w:right w:val="nil"/>
            </w:tcBorders>
            <w:tcMar>
              <w:top w:w="0" w:type="dxa"/>
              <w:left w:w="62" w:type="dxa"/>
              <w:bottom w:w="0" w:type="dxa"/>
              <w:right w:w="62" w:type="dxa"/>
            </w:tcMar>
          </w:tcPr>
          <w:p w:rsidR="00000000" w:rsidP="001F6F52">
            <w:pPr>
              <w:pStyle w:val="BodyText"/>
              <w:rPr>
                <w:lang w:val="en-NZ"/>
              </w:rPr>
            </w:pPr>
            <w:r w:rsidRPr="001F6F52">
              <w:t>Material is located and held in position for hand tool application</w:t>
            </w:r>
          </w:p>
        </w:tc>
      </w:tr>
      <w:tr w:rsidTr="001F6F5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F6F52">
            <w:pPr>
              <w:pStyle w:val="BodyText"/>
              <w:rPr>
                <w:lang w:val="en-NZ"/>
              </w:rPr>
            </w:pPr>
            <w:r w:rsidRPr="001F6F52">
              <w:t>2.5</w:t>
            </w:r>
          </w:p>
        </w:tc>
        <w:tc>
          <w:tcPr>
            <w:tcW w:w="5866" w:type="dxa"/>
            <w:tcBorders>
              <w:top w:val="nil"/>
              <w:left w:val="nil"/>
              <w:bottom w:val="nil"/>
              <w:right w:val="nil"/>
            </w:tcBorders>
            <w:tcMar>
              <w:top w:w="0" w:type="dxa"/>
              <w:left w:w="62" w:type="dxa"/>
              <w:bottom w:w="0" w:type="dxa"/>
              <w:right w:w="62" w:type="dxa"/>
            </w:tcMar>
          </w:tcPr>
          <w:p w:rsidR="00000000" w:rsidP="001F6F52">
            <w:pPr>
              <w:pStyle w:val="BodyText"/>
              <w:rPr>
                <w:lang w:val="en-NZ"/>
              </w:rPr>
            </w:pPr>
            <w:r w:rsidRPr="001F6F52">
              <w:t>Hand tools are safely and effectively used according to their intended use and safely stored when not in immediate use</w:t>
            </w:r>
          </w:p>
        </w:tc>
      </w:tr>
      <w:tr w:rsidTr="001F6F5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1F6F52">
            <w:pPr>
              <w:pStyle w:val="BodyText"/>
              <w:rPr>
                <w:lang w:val="en-NZ"/>
              </w:rPr>
            </w:pPr>
            <w:r w:rsidRPr="001F6F52">
              <w:t>3</w:t>
            </w:r>
          </w:p>
        </w:tc>
        <w:tc>
          <w:tcPr>
            <w:tcW w:w="2219" w:type="dxa"/>
            <w:tcBorders>
              <w:top w:val="nil"/>
              <w:left w:val="nil"/>
              <w:bottom w:val="nil"/>
              <w:right w:val="nil"/>
            </w:tcBorders>
            <w:tcMar>
              <w:top w:w="0" w:type="dxa"/>
              <w:left w:w="62" w:type="dxa"/>
              <w:bottom w:w="0" w:type="dxa"/>
              <w:right w:w="62" w:type="dxa"/>
            </w:tcMar>
          </w:tcPr>
          <w:p w:rsidR="00000000" w:rsidP="001F6F52">
            <w:pPr>
              <w:pStyle w:val="BodyText"/>
              <w:rPr>
                <w:lang w:val="en-NZ"/>
              </w:rPr>
            </w:pPr>
            <w:r w:rsidRPr="001F6F52">
              <w:t>Select and use power tools</w:t>
            </w:r>
          </w:p>
        </w:tc>
        <w:tc>
          <w:tcPr>
            <w:tcW w:w="661" w:type="dxa"/>
            <w:tcBorders>
              <w:top w:val="nil"/>
              <w:left w:val="nil"/>
              <w:bottom w:val="nil"/>
              <w:right w:val="nil"/>
            </w:tcBorders>
            <w:tcMar>
              <w:top w:w="0" w:type="dxa"/>
              <w:left w:w="62" w:type="dxa"/>
              <w:bottom w:w="0" w:type="dxa"/>
              <w:right w:w="62" w:type="dxa"/>
            </w:tcMar>
          </w:tcPr>
          <w:p w:rsidR="00000000" w:rsidP="001F6F52">
            <w:pPr>
              <w:pStyle w:val="BodyText"/>
              <w:rPr>
                <w:lang w:val="en-NZ"/>
              </w:rPr>
            </w:pPr>
            <w:r w:rsidRPr="001F6F52">
              <w:t>3.1</w:t>
            </w:r>
          </w:p>
        </w:tc>
        <w:tc>
          <w:tcPr>
            <w:tcW w:w="5866" w:type="dxa"/>
            <w:tcBorders>
              <w:top w:val="nil"/>
              <w:left w:val="nil"/>
              <w:bottom w:val="nil"/>
              <w:right w:val="nil"/>
            </w:tcBorders>
            <w:tcMar>
              <w:top w:w="0" w:type="dxa"/>
              <w:left w:w="62" w:type="dxa"/>
              <w:bottom w:w="0" w:type="dxa"/>
              <w:right w:w="62" w:type="dxa"/>
            </w:tcMar>
          </w:tcPr>
          <w:p w:rsidR="00000000" w:rsidP="001F6F52">
            <w:pPr>
              <w:pStyle w:val="BodyText"/>
              <w:rPr>
                <w:lang w:val="en-NZ"/>
              </w:rPr>
            </w:pPr>
            <w:r w:rsidRPr="001F6F52">
              <w:t>Appropriate personal protective equipment is selected, correctly fitted and used at all times</w:t>
            </w:r>
          </w:p>
        </w:tc>
      </w:tr>
      <w:tr w:rsidTr="001F6F5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F6F52">
            <w:pPr>
              <w:pStyle w:val="BodyText"/>
              <w:rPr>
                <w:lang w:val="en-NZ"/>
              </w:rPr>
            </w:pPr>
            <w:r w:rsidRPr="001F6F52">
              <w:t>3.2</w:t>
            </w:r>
          </w:p>
        </w:tc>
        <w:tc>
          <w:tcPr>
            <w:tcW w:w="5866" w:type="dxa"/>
            <w:tcBorders>
              <w:top w:val="nil"/>
              <w:left w:val="nil"/>
              <w:bottom w:val="nil"/>
              <w:right w:val="nil"/>
            </w:tcBorders>
            <w:tcMar>
              <w:top w:w="0" w:type="dxa"/>
              <w:left w:w="62" w:type="dxa"/>
              <w:bottom w:w="0" w:type="dxa"/>
              <w:right w:w="62" w:type="dxa"/>
            </w:tcMar>
          </w:tcPr>
          <w:p w:rsidR="00000000" w:rsidP="001F6F52">
            <w:pPr>
              <w:pStyle w:val="BodyText"/>
              <w:rPr>
                <w:lang w:val="en-NZ"/>
              </w:rPr>
            </w:pPr>
            <w:r w:rsidRPr="001F6F52">
              <w:t>Po</w:t>
            </w:r>
            <w:r w:rsidRPr="001F6F52">
              <w:t>wer tools are selected consistent with needs of job in accordance with conventional work practice</w:t>
            </w:r>
          </w:p>
        </w:tc>
      </w:tr>
      <w:tr w:rsidTr="001F6F5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F6F52">
            <w:pPr>
              <w:pStyle w:val="BodyText"/>
              <w:rPr>
                <w:lang w:val="en-NZ"/>
              </w:rPr>
            </w:pPr>
            <w:r w:rsidRPr="001F6F52">
              <w:t>3.3</w:t>
            </w:r>
          </w:p>
        </w:tc>
        <w:tc>
          <w:tcPr>
            <w:tcW w:w="5866" w:type="dxa"/>
            <w:tcBorders>
              <w:top w:val="nil"/>
              <w:left w:val="nil"/>
              <w:bottom w:val="nil"/>
              <w:right w:val="nil"/>
            </w:tcBorders>
            <w:tcMar>
              <w:top w:w="0" w:type="dxa"/>
              <w:left w:w="62" w:type="dxa"/>
              <w:bottom w:w="0" w:type="dxa"/>
              <w:right w:w="62" w:type="dxa"/>
            </w:tcMar>
          </w:tcPr>
          <w:p w:rsidR="00000000" w:rsidP="001F6F52">
            <w:pPr>
              <w:pStyle w:val="BodyText"/>
              <w:rPr>
                <w:lang w:val="en-NZ"/>
              </w:rPr>
            </w:pPr>
            <w:r w:rsidRPr="001F6F52">
              <w:t>Power tools are visually checked for serviceability/safety in accordance with WHS requirements and any faults reported to supervisor in accordance with</w:t>
            </w:r>
            <w:r w:rsidRPr="001F6F52">
              <w:t xml:space="preserve"> enterprise procedures</w:t>
            </w:r>
          </w:p>
        </w:tc>
      </w:tr>
      <w:tr w:rsidTr="001F6F5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F6F52">
            <w:pPr>
              <w:pStyle w:val="BodyText"/>
              <w:rPr>
                <w:lang w:val="en-NZ"/>
              </w:rPr>
            </w:pPr>
            <w:r w:rsidRPr="001F6F52">
              <w:t>3.4</w:t>
            </w:r>
          </w:p>
        </w:tc>
        <w:tc>
          <w:tcPr>
            <w:tcW w:w="5866" w:type="dxa"/>
            <w:tcBorders>
              <w:top w:val="nil"/>
              <w:left w:val="nil"/>
              <w:bottom w:val="nil"/>
              <w:right w:val="nil"/>
            </w:tcBorders>
            <w:tcMar>
              <w:top w:w="0" w:type="dxa"/>
              <w:left w:w="62" w:type="dxa"/>
              <w:bottom w:w="0" w:type="dxa"/>
              <w:right w:w="62" w:type="dxa"/>
            </w:tcMar>
          </w:tcPr>
          <w:p w:rsidR="00000000" w:rsidP="001F6F52">
            <w:pPr>
              <w:pStyle w:val="BodyText"/>
              <w:rPr>
                <w:lang w:val="en-NZ"/>
              </w:rPr>
            </w:pPr>
            <w:r w:rsidRPr="001F6F52">
              <w:t>Equipment is selected to hold, position or support materials for power tool application, where applicable</w:t>
            </w:r>
          </w:p>
        </w:tc>
      </w:tr>
      <w:tr w:rsidTr="001F6F5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F6F52">
            <w:pPr>
              <w:pStyle w:val="BodyText"/>
              <w:rPr>
                <w:lang w:val="en-NZ"/>
              </w:rPr>
            </w:pPr>
            <w:r w:rsidRPr="001F6F52">
              <w:t>3.5</w:t>
            </w:r>
          </w:p>
        </w:tc>
        <w:tc>
          <w:tcPr>
            <w:tcW w:w="5866" w:type="dxa"/>
            <w:tcBorders>
              <w:top w:val="nil"/>
              <w:left w:val="nil"/>
              <w:bottom w:val="nil"/>
              <w:right w:val="nil"/>
            </w:tcBorders>
            <w:tcMar>
              <w:top w:w="0" w:type="dxa"/>
              <w:left w:w="62" w:type="dxa"/>
              <w:bottom w:w="0" w:type="dxa"/>
              <w:right w:w="62" w:type="dxa"/>
            </w:tcMar>
          </w:tcPr>
          <w:p w:rsidR="00000000" w:rsidP="001F6F52">
            <w:pPr>
              <w:pStyle w:val="BodyText"/>
              <w:rPr>
                <w:lang w:val="en-NZ"/>
              </w:rPr>
            </w:pPr>
            <w:r w:rsidRPr="001F6F52">
              <w:t>Material to be worked on is located and held in position for power tool application, where applicable</w:t>
            </w:r>
          </w:p>
        </w:tc>
      </w:tr>
      <w:tr w:rsidTr="001F6F5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F6F52">
            <w:pPr>
              <w:pStyle w:val="BodyText"/>
              <w:rPr>
                <w:lang w:val="en-NZ"/>
              </w:rPr>
            </w:pPr>
            <w:r w:rsidRPr="001F6F52">
              <w:t>3.6</w:t>
            </w:r>
          </w:p>
        </w:tc>
        <w:tc>
          <w:tcPr>
            <w:tcW w:w="5866" w:type="dxa"/>
            <w:tcBorders>
              <w:top w:val="nil"/>
              <w:left w:val="nil"/>
              <w:bottom w:val="nil"/>
              <w:right w:val="nil"/>
            </w:tcBorders>
            <w:tcMar>
              <w:top w:w="0" w:type="dxa"/>
              <w:left w:w="62" w:type="dxa"/>
              <w:bottom w:w="0" w:type="dxa"/>
              <w:right w:w="62" w:type="dxa"/>
            </w:tcMar>
          </w:tcPr>
          <w:p w:rsidR="00000000" w:rsidP="001F6F52">
            <w:pPr>
              <w:pStyle w:val="BodyText"/>
              <w:rPr>
                <w:lang w:val="en-NZ"/>
              </w:rPr>
            </w:pPr>
            <w:r w:rsidRPr="001F6F52">
              <w:t>Power tools are safely and effectively used in application processes</w:t>
            </w:r>
          </w:p>
        </w:tc>
      </w:tr>
      <w:tr w:rsidTr="001F6F5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F6F52">
            <w:pPr>
              <w:pStyle w:val="BodyText"/>
              <w:rPr>
                <w:lang w:val="en-NZ"/>
              </w:rPr>
            </w:pPr>
            <w:r w:rsidRPr="001F6F52">
              <w:t>3.7</w:t>
            </w:r>
          </w:p>
        </w:tc>
        <w:tc>
          <w:tcPr>
            <w:tcW w:w="5866" w:type="dxa"/>
            <w:tcBorders>
              <w:top w:val="nil"/>
              <w:left w:val="nil"/>
              <w:bottom w:val="nil"/>
              <w:right w:val="nil"/>
            </w:tcBorders>
            <w:tcMar>
              <w:top w:w="0" w:type="dxa"/>
              <w:left w:w="62" w:type="dxa"/>
              <w:bottom w:w="0" w:type="dxa"/>
              <w:right w:w="62" w:type="dxa"/>
            </w:tcMar>
          </w:tcPr>
          <w:p w:rsidR="00000000" w:rsidP="001F6F52">
            <w:pPr>
              <w:pStyle w:val="BodyText"/>
              <w:rPr>
                <w:lang w:val="en-NZ"/>
              </w:rPr>
            </w:pPr>
            <w:r w:rsidRPr="001F6F52">
              <w:t>Power tools are safely switched off and stored when not in use</w:t>
            </w:r>
          </w:p>
        </w:tc>
      </w:tr>
      <w:tr w:rsidTr="001F6F5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1F6F52">
            <w:pPr>
              <w:pStyle w:val="BodyText"/>
              <w:rPr>
                <w:lang w:val="en-NZ"/>
              </w:rPr>
            </w:pPr>
            <w:r w:rsidRPr="001F6F52">
              <w:t>4</w:t>
            </w:r>
          </w:p>
        </w:tc>
        <w:tc>
          <w:tcPr>
            <w:tcW w:w="2219" w:type="dxa"/>
            <w:tcBorders>
              <w:top w:val="nil"/>
              <w:left w:val="nil"/>
              <w:bottom w:val="nil"/>
              <w:right w:val="nil"/>
            </w:tcBorders>
            <w:tcMar>
              <w:top w:w="0" w:type="dxa"/>
              <w:left w:w="62" w:type="dxa"/>
              <w:bottom w:w="0" w:type="dxa"/>
              <w:right w:w="62" w:type="dxa"/>
            </w:tcMar>
          </w:tcPr>
          <w:p w:rsidR="00000000" w:rsidP="001F6F52">
            <w:pPr>
              <w:pStyle w:val="BodyText"/>
              <w:rPr>
                <w:lang w:val="en-NZ"/>
              </w:rPr>
            </w:pPr>
            <w:r w:rsidRPr="001F6F52">
              <w:t>Clean up work area and tools</w:t>
            </w:r>
          </w:p>
        </w:tc>
        <w:tc>
          <w:tcPr>
            <w:tcW w:w="661" w:type="dxa"/>
            <w:tcBorders>
              <w:top w:val="nil"/>
              <w:left w:val="nil"/>
              <w:bottom w:val="nil"/>
              <w:right w:val="nil"/>
            </w:tcBorders>
            <w:tcMar>
              <w:top w:w="0" w:type="dxa"/>
              <w:left w:w="62" w:type="dxa"/>
              <w:bottom w:w="0" w:type="dxa"/>
              <w:right w:w="62" w:type="dxa"/>
            </w:tcMar>
          </w:tcPr>
          <w:p w:rsidR="00000000" w:rsidP="001F6F52">
            <w:pPr>
              <w:pStyle w:val="BodyText"/>
              <w:rPr>
                <w:lang w:val="en-NZ"/>
              </w:rPr>
            </w:pPr>
            <w:r w:rsidRPr="001F6F52">
              <w:t>4.1</w:t>
            </w:r>
          </w:p>
        </w:tc>
        <w:tc>
          <w:tcPr>
            <w:tcW w:w="5866" w:type="dxa"/>
            <w:tcBorders>
              <w:top w:val="nil"/>
              <w:left w:val="nil"/>
              <w:bottom w:val="nil"/>
              <w:right w:val="nil"/>
            </w:tcBorders>
            <w:tcMar>
              <w:top w:w="0" w:type="dxa"/>
              <w:left w:w="62" w:type="dxa"/>
              <w:bottom w:w="0" w:type="dxa"/>
              <w:right w:w="62" w:type="dxa"/>
            </w:tcMar>
          </w:tcPr>
          <w:p w:rsidR="00000000" w:rsidP="001F6F52">
            <w:pPr>
              <w:pStyle w:val="BodyText"/>
              <w:rPr>
                <w:lang w:val="en-NZ"/>
              </w:rPr>
            </w:pPr>
            <w:r w:rsidRPr="001F6F52">
              <w:t>All tools and equipment are cleaned, maintained and stored with relevant document</w:t>
            </w:r>
            <w:r w:rsidRPr="001F6F52">
              <w:t>ation completed in accordance with enterprise procedures</w:t>
            </w:r>
          </w:p>
        </w:tc>
      </w:tr>
      <w:tr w:rsidTr="001F6F5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F6F52">
            <w:pPr>
              <w:pStyle w:val="BodyText"/>
              <w:rPr>
                <w:lang w:val="en-NZ"/>
              </w:rPr>
            </w:pPr>
            <w:r w:rsidRPr="001F6F52">
              <w:t>4.2</w:t>
            </w:r>
          </w:p>
        </w:tc>
        <w:tc>
          <w:tcPr>
            <w:tcW w:w="5866" w:type="dxa"/>
            <w:tcBorders>
              <w:top w:val="nil"/>
              <w:left w:val="nil"/>
              <w:bottom w:val="nil"/>
              <w:right w:val="nil"/>
            </w:tcBorders>
            <w:tcMar>
              <w:top w:w="0" w:type="dxa"/>
              <w:left w:w="62" w:type="dxa"/>
              <w:bottom w:w="0" w:type="dxa"/>
              <w:right w:w="62" w:type="dxa"/>
            </w:tcMar>
          </w:tcPr>
          <w:p w:rsidR="00000000" w:rsidRPr="001F6F52" w:rsidP="001F6F52">
            <w:pPr>
              <w:pStyle w:val="BodyText"/>
            </w:pPr>
            <w:r w:rsidRPr="001F6F52">
              <w:t>Work area is cleared and waste removed</w:t>
            </w:r>
          </w:p>
        </w:tc>
      </w:tr>
    </w:tbl>
    <w:p w:rsidR="00000000" w:rsidRPr="001F6F52" w:rsidP="001F6F52">
      <w:pPr>
        <w:pStyle w:val="BodyText"/>
      </w:pPr>
    </w:p>
    <w:p w:rsidR="00000000" w:rsidRPr="001F6F52" w:rsidP="001F6F52">
      <w:pPr>
        <w:pStyle w:val="AllowPageBreak"/>
      </w:pPr>
    </w:p>
    <w:p w:rsidR="00000000" w:rsidRPr="001F6F52" w:rsidP="001F6F52">
      <w:pPr>
        <w:pStyle w:val="Heading1"/>
      </w:pPr>
      <w:bookmarkStart w:id="7" w:name="O_631036"/>
      <w:bookmarkEnd w:id="7"/>
      <w:r w:rsidRPr="001F6F52">
        <w:t>Foundation Skills</w:t>
      </w:r>
    </w:p>
    <w:p w:rsidR="00000000" w:rsidRPr="001F6F52" w:rsidP="006F1A9E">
      <w:pPr>
        <w:pStyle w:val="BodyText"/>
      </w:pPr>
      <w:r w:rsidRPr="001F6F52">
        <w:t>Foundation skills essential to performance are explicit in the performance criteria of this unit of competency. Detail on appropriate performance levels for each furnishing unit of competency in reading, writing, oral communication and numeracy utilising t</w:t>
      </w:r>
      <w:r w:rsidRPr="001F6F52">
        <w:t>he Australian Core Skills Framework (ACSF) are provided in the Furnishing Training Package Implementation Guide.</w:t>
      </w:r>
    </w:p>
    <w:p w:rsidR="00000000" w:rsidRPr="001F6F52" w:rsidP="001F6F52">
      <w:pPr>
        <w:pStyle w:val="Heading1"/>
      </w:pPr>
      <w:bookmarkStart w:id="8" w:name="O_631035"/>
      <w:bookmarkEnd w:id="8"/>
      <w:r w:rsidRPr="001F6F52">
        <w:t>Range of Conditions</w:t>
      </w:r>
    </w:p>
    <w:tbl>
      <w:tblPr>
        <w:tblW w:w="0" w:type="auto"/>
        <w:tblLayout w:type="fixed"/>
        <w:tblCellMar>
          <w:left w:w="62" w:type="dxa"/>
          <w:right w:w="62" w:type="dxa"/>
        </w:tblCellMar>
        <w:tblLook w:val="0000"/>
      </w:tblPr>
      <w:tblGrid>
        <w:gridCol w:w="2760"/>
        <w:gridCol w:w="6312"/>
      </w:tblGrid>
      <w:tr w:rsidTr="001F6F5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F6F52">
            <w:pPr>
              <w:pStyle w:val="BodyText"/>
              <w:rPr>
                <w:lang w:val="en-NZ"/>
              </w:rPr>
            </w:pPr>
            <w:r w:rsidRPr="001F6F52">
              <w:t>Specifies different work environments and conditions that may affect performance. Essential operating cond</w:t>
            </w:r>
            <w:r w:rsidRPr="001F6F52">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1F6F52">
              <w:t>to the work environment.</w:t>
            </w:r>
          </w:p>
        </w:tc>
      </w:tr>
      <w:tr w:rsidTr="001F6F5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F6F52">
            <w:pPr>
              <w:pStyle w:val="BodyText"/>
              <w:rPr>
                <w:lang w:val="en-NZ"/>
              </w:rPr>
            </w:pPr>
            <w:r w:rsidRPr="001F6F52">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1F6F52" w:rsidP="001F6F52">
            <w:pPr>
              <w:pStyle w:val="ListBullet"/>
            </w:pPr>
            <w:r w:rsidRPr="001F6F52">
              <w:t xml:space="preserve">WHS requirements, including legislation, building codes, material safety management systems, hazardous and dangerous goods codes, and organisational safe operating procedures or equivalent </w:t>
            </w:r>
          </w:p>
          <w:p w:rsidR="00000000" w:rsidRPr="001F6F52" w:rsidP="001F6F52">
            <w:pPr>
              <w:pStyle w:val="ListBullet"/>
            </w:pPr>
            <w:r w:rsidRPr="001F6F52">
              <w:t>work is carried out in accordance with state and federal legislative obligations, environmental legislation,  manual handling procedures and organisation insurance requirements</w:t>
            </w:r>
          </w:p>
          <w:p w:rsidR="00000000" w:rsidP="001F6F52">
            <w:pPr>
              <w:pStyle w:val="ListBullet"/>
              <w:rPr>
                <w:lang w:val="en-NZ"/>
              </w:rPr>
            </w:pPr>
            <w:r w:rsidRPr="001F6F52">
              <w:t>work requires individuals to demonstrate some discretion, judgement and problem</w:t>
            </w:r>
            <w:r w:rsidRPr="001F6F52">
              <w:t xml:space="preserve"> solving </w:t>
            </w:r>
          </w:p>
        </w:tc>
      </w:tr>
      <w:tr w:rsidTr="001F6F5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F6F52">
            <w:pPr>
              <w:pStyle w:val="BodyText"/>
              <w:rPr>
                <w:lang w:val="en-NZ"/>
              </w:rPr>
            </w:pPr>
            <w:r w:rsidRPr="001F6F52">
              <w:rPr>
                <w:rStyle w:val="SpecialBold"/>
              </w:rPr>
              <w:t>Hand tools used in the glass and glazing sector include:</w:t>
            </w:r>
          </w:p>
        </w:tc>
        <w:tc>
          <w:tcPr>
            <w:tcW w:w="6312" w:type="dxa"/>
            <w:tcBorders>
              <w:top w:val="nil"/>
              <w:left w:val="nil"/>
              <w:bottom w:val="nil"/>
              <w:right w:val="nil"/>
            </w:tcBorders>
            <w:tcMar>
              <w:top w:w="0" w:type="dxa"/>
              <w:left w:w="62" w:type="dxa"/>
              <w:bottom w:w="0" w:type="dxa"/>
              <w:right w:w="62" w:type="dxa"/>
            </w:tcMar>
          </w:tcPr>
          <w:p w:rsidR="00000000" w:rsidRPr="001F6F52" w:rsidP="001F6F52">
            <w:pPr>
              <w:pStyle w:val="ListBullet"/>
            </w:pPr>
            <w:r w:rsidRPr="001F6F52">
              <w:t>tungsten wheel glass cutters</w:t>
            </w:r>
          </w:p>
          <w:p w:rsidR="00000000" w:rsidRPr="001F6F52" w:rsidP="001F6F52">
            <w:pPr>
              <w:pStyle w:val="ListBullet"/>
            </w:pPr>
            <w:r w:rsidRPr="001F6F52">
              <w:t>speed cutters</w:t>
            </w:r>
          </w:p>
          <w:p w:rsidR="00000000" w:rsidRPr="001F6F52" w:rsidP="001F6F52">
            <w:pPr>
              <w:pStyle w:val="ListBullet"/>
            </w:pPr>
            <w:r w:rsidRPr="001F6F52">
              <w:t>circle cutters</w:t>
            </w:r>
          </w:p>
          <w:p w:rsidR="00000000" w:rsidRPr="001F6F52" w:rsidP="001F6F52">
            <w:pPr>
              <w:pStyle w:val="ListBullet"/>
            </w:pPr>
            <w:r w:rsidRPr="001F6F52">
              <w:t>vacuum straight edges</w:t>
            </w:r>
          </w:p>
          <w:p w:rsidR="00000000" w:rsidRPr="001F6F52" w:rsidP="001F6F52">
            <w:pPr>
              <w:pStyle w:val="ListBullet"/>
            </w:pPr>
            <w:r w:rsidRPr="001F6F52">
              <w:t>lever and vacuum lifters</w:t>
            </w:r>
          </w:p>
          <w:p w:rsidR="00000000" w:rsidRPr="001F6F52" w:rsidP="001F6F52">
            <w:pPr>
              <w:pStyle w:val="ListBullet"/>
            </w:pPr>
            <w:r w:rsidRPr="001F6F52">
              <w:t>plate and running pliers</w:t>
            </w:r>
          </w:p>
          <w:p w:rsidR="00000000" w:rsidRPr="001F6F52" w:rsidP="001F6F52">
            <w:pPr>
              <w:pStyle w:val="ListBullet"/>
            </w:pPr>
            <w:r w:rsidRPr="001F6F52">
              <w:t xml:space="preserve">pop rivet pliers </w:t>
            </w:r>
          </w:p>
          <w:p w:rsidR="00000000" w:rsidRPr="001F6F52" w:rsidP="001F6F52">
            <w:pPr>
              <w:pStyle w:val="ListBullet"/>
            </w:pPr>
            <w:r w:rsidRPr="001F6F52">
              <w:t>screwdrivers</w:t>
            </w:r>
          </w:p>
          <w:p w:rsidR="00000000" w:rsidRPr="001F6F52" w:rsidP="001F6F52">
            <w:pPr>
              <w:pStyle w:val="ListBullet"/>
            </w:pPr>
            <w:r w:rsidRPr="001F6F52">
              <w:t>tools for aluminium:</w:t>
            </w:r>
          </w:p>
          <w:p w:rsidR="00000000" w:rsidRPr="001F6F52" w:rsidP="001F6F52">
            <w:pPr>
              <w:pStyle w:val="ListBullet2"/>
            </w:pPr>
            <w:r w:rsidRPr="001F6F52">
              <w:t>kniv</w:t>
            </w:r>
            <w:r w:rsidRPr="001F6F52">
              <w:t xml:space="preserve">es </w:t>
            </w:r>
          </w:p>
          <w:p w:rsidR="00000000" w:rsidRPr="001F6F52" w:rsidP="001F6F52">
            <w:pPr>
              <w:pStyle w:val="ListBullet2"/>
            </w:pPr>
            <w:r w:rsidRPr="001F6F52">
              <w:t xml:space="preserve">sheers </w:t>
            </w:r>
          </w:p>
          <w:p w:rsidR="00000000" w:rsidRPr="001F6F52" w:rsidP="001F6F52">
            <w:pPr>
              <w:pStyle w:val="ListBullet2"/>
            </w:pPr>
            <w:r w:rsidRPr="001F6F52">
              <w:t xml:space="preserve">measuring devices </w:t>
            </w:r>
          </w:p>
          <w:p w:rsidR="00000000" w:rsidRPr="001F6F52" w:rsidP="001F6F52">
            <w:pPr>
              <w:pStyle w:val="ListBullet2"/>
            </w:pPr>
            <w:r w:rsidRPr="001F6F52">
              <w:t xml:space="preserve">straight edge </w:t>
            </w:r>
          </w:p>
          <w:p w:rsidR="00000000" w:rsidRPr="001F6F52" w:rsidP="001F6F52">
            <w:pPr>
              <w:pStyle w:val="ListBullet2"/>
            </w:pPr>
            <w:r w:rsidRPr="001F6F52">
              <w:t xml:space="preserve">square </w:t>
            </w:r>
          </w:p>
          <w:p w:rsidR="00000000" w:rsidRPr="001F6F52" w:rsidP="001F6F52">
            <w:pPr>
              <w:pStyle w:val="ListBullet2"/>
            </w:pPr>
            <w:r w:rsidRPr="001F6F52">
              <w:t xml:space="preserve">assorted hammers </w:t>
            </w:r>
          </w:p>
          <w:p w:rsidR="00000000" w:rsidRPr="001F6F52" w:rsidP="001F6F52">
            <w:pPr>
              <w:pStyle w:val="ListBullet2"/>
            </w:pPr>
            <w:r w:rsidRPr="001F6F52">
              <w:t xml:space="preserve">rollers </w:t>
            </w:r>
          </w:p>
          <w:p w:rsidR="00000000" w:rsidP="001F6F52">
            <w:pPr>
              <w:pStyle w:val="ListBullet2"/>
              <w:rPr>
                <w:lang w:val="en-NZ"/>
              </w:rPr>
            </w:pPr>
            <w:r w:rsidRPr="001F6F52">
              <w:t xml:space="preserve">combination saw </w:t>
            </w:r>
          </w:p>
        </w:tc>
      </w:tr>
      <w:tr w:rsidTr="001F6F5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F6F52">
            <w:pPr>
              <w:pStyle w:val="BodyText"/>
              <w:rPr>
                <w:lang w:val="en-NZ"/>
              </w:rPr>
            </w:pPr>
            <w:r w:rsidRPr="001F6F52">
              <w:rPr>
                <w:rStyle w:val="SpecialBold"/>
              </w:rPr>
              <w:t>Power tools used in the glass and glazing sector include:</w:t>
            </w:r>
          </w:p>
        </w:tc>
        <w:tc>
          <w:tcPr>
            <w:tcW w:w="6312" w:type="dxa"/>
            <w:tcBorders>
              <w:top w:val="nil"/>
              <w:left w:val="nil"/>
              <w:bottom w:val="nil"/>
              <w:right w:val="nil"/>
            </w:tcBorders>
            <w:tcMar>
              <w:top w:w="0" w:type="dxa"/>
              <w:left w:w="62" w:type="dxa"/>
              <w:bottom w:w="0" w:type="dxa"/>
              <w:right w:w="62" w:type="dxa"/>
            </w:tcMar>
          </w:tcPr>
          <w:p w:rsidR="00000000" w:rsidRPr="001F6F52" w:rsidP="001F6F52">
            <w:pPr>
              <w:pStyle w:val="ListBullet"/>
            </w:pPr>
            <w:r w:rsidRPr="001F6F52">
              <w:t xml:space="preserve">portable electric drills </w:t>
            </w:r>
          </w:p>
          <w:p w:rsidR="00000000" w:rsidRPr="001F6F52" w:rsidP="001F6F52">
            <w:pPr>
              <w:pStyle w:val="ListBullet"/>
            </w:pPr>
            <w:r w:rsidRPr="001F6F52">
              <w:t xml:space="preserve">grinders </w:t>
            </w:r>
          </w:p>
          <w:p w:rsidR="00000000" w:rsidRPr="001F6F52" w:rsidP="001F6F52">
            <w:pPr>
              <w:pStyle w:val="ListBullet"/>
            </w:pPr>
            <w:r w:rsidRPr="001F6F52">
              <w:t xml:space="preserve">circular saws and jig saws </w:t>
            </w:r>
          </w:p>
          <w:p w:rsidR="00000000" w:rsidRPr="001F6F52" w:rsidP="001F6F52">
            <w:pPr>
              <w:pStyle w:val="ListBullet"/>
            </w:pPr>
            <w:r w:rsidRPr="001F6F52">
              <w:t xml:space="preserve">plunge routers </w:t>
            </w:r>
          </w:p>
          <w:p w:rsidR="00000000" w:rsidRPr="001F6F52" w:rsidP="001F6F52">
            <w:pPr>
              <w:pStyle w:val="ListBullet"/>
            </w:pPr>
            <w:r w:rsidRPr="001F6F52">
              <w:t>sanders</w:t>
            </w:r>
          </w:p>
          <w:p w:rsidR="00000000" w:rsidRPr="001F6F52" w:rsidP="001F6F52">
            <w:pPr>
              <w:pStyle w:val="ListBullet"/>
            </w:pPr>
            <w:r w:rsidRPr="001F6F52">
              <w:t xml:space="preserve">drop, radius, mitre and upcut saws </w:t>
            </w:r>
          </w:p>
          <w:p w:rsidR="00000000" w:rsidRPr="001F6F52" w:rsidP="001F6F52">
            <w:pPr>
              <w:pStyle w:val="ListBullet"/>
            </w:pPr>
            <w:r w:rsidRPr="001F6F52">
              <w:t>bench drills and grinders</w:t>
            </w:r>
          </w:p>
          <w:p w:rsidR="00000000" w:rsidRPr="001F6F52" w:rsidP="001F6F52">
            <w:pPr>
              <w:pStyle w:val="ListBullet"/>
            </w:pPr>
            <w:r w:rsidRPr="001F6F52">
              <w:t xml:space="preserve">portable pneumatic drills </w:t>
            </w:r>
          </w:p>
          <w:p w:rsidR="00000000" w:rsidRPr="001F6F52" w:rsidP="001F6F52">
            <w:pPr>
              <w:pStyle w:val="ListBullet"/>
            </w:pPr>
            <w:r w:rsidRPr="001F6F52">
              <w:t xml:space="preserve">nail and staple guns </w:t>
            </w:r>
          </w:p>
          <w:p w:rsidR="00000000" w:rsidRPr="001F6F52" w:rsidP="001F6F52">
            <w:pPr>
              <w:pStyle w:val="ListBullet"/>
            </w:pPr>
            <w:r w:rsidRPr="001F6F52">
              <w:t>pop rivet guns and compressors</w:t>
            </w:r>
          </w:p>
          <w:p w:rsidR="00000000" w:rsidRPr="001F6F52" w:rsidP="001F6F52">
            <w:pPr>
              <w:pStyle w:val="ListBullet"/>
            </w:pPr>
            <w:r w:rsidRPr="001F6F52">
              <w:t>tools for aluminium:</w:t>
            </w:r>
          </w:p>
          <w:p w:rsidR="00000000" w:rsidRPr="001F6F52" w:rsidP="001F6F52">
            <w:pPr>
              <w:pStyle w:val="ListBullet2"/>
            </w:pPr>
            <w:r w:rsidRPr="001F6F52">
              <w:t xml:space="preserve">assorted air tools </w:t>
            </w:r>
          </w:p>
          <w:p w:rsidR="00000000" w:rsidRPr="001F6F52" w:rsidP="001F6F52">
            <w:pPr>
              <w:pStyle w:val="ListBullet2"/>
            </w:pPr>
            <w:r w:rsidRPr="001F6F52">
              <w:t xml:space="preserve">assorted electric tools </w:t>
            </w:r>
          </w:p>
          <w:p w:rsidR="00000000" w:rsidRPr="001F6F52" w:rsidP="001F6F52">
            <w:pPr>
              <w:pStyle w:val="ListBullet2"/>
            </w:pPr>
            <w:r w:rsidRPr="001F6F52">
              <w:t xml:space="preserve">compressor </w:t>
            </w:r>
          </w:p>
          <w:p w:rsidR="00000000" w:rsidRPr="001F6F52" w:rsidP="001F6F52">
            <w:pPr>
              <w:pStyle w:val="ListBullet2"/>
            </w:pPr>
            <w:r w:rsidRPr="001F6F52">
              <w:t xml:space="preserve">rivet gun </w:t>
            </w:r>
          </w:p>
          <w:p w:rsidR="00000000" w:rsidP="001F6F52">
            <w:pPr>
              <w:pStyle w:val="ListBullet2"/>
              <w:rPr>
                <w:lang w:val="en-NZ"/>
              </w:rPr>
            </w:pPr>
            <w:r w:rsidRPr="001F6F52">
              <w:t>metal press and dies</w:t>
            </w:r>
          </w:p>
        </w:tc>
      </w:tr>
      <w:tr w:rsidTr="001F6F5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1F6F52" w:rsidP="001F6F52">
            <w:pPr>
              <w:pStyle w:val="BodyText"/>
            </w:pPr>
            <w:r w:rsidRPr="001F6F52">
              <w:rPr>
                <w:rStyle w:val="SpecialBold"/>
              </w:rPr>
              <w:t>Personal protective equipment includes:</w:t>
            </w:r>
          </w:p>
          <w:p w:rsidR="00000000" w:rsidP="001F6F52">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1F6F52" w:rsidP="001F6F52">
            <w:pPr>
              <w:pStyle w:val="ListBullet"/>
            </w:pPr>
            <w:r w:rsidRPr="001F6F52">
              <w:t>that prescribed under legislation, regulation and enterprise policies and practices:</w:t>
            </w:r>
          </w:p>
          <w:p w:rsidR="00000000" w:rsidRPr="001F6F52" w:rsidP="001F6F52">
            <w:pPr>
              <w:pStyle w:val="ListBullet2"/>
            </w:pPr>
            <w:r w:rsidRPr="001F6F52">
              <w:t>gauntlets</w:t>
            </w:r>
          </w:p>
          <w:p w:rsidR="00000000" w:rsidRPr="001F6F52" w:rsidP="001F6F52">
            <w:pPr>
              <w:pStyle w:val="ListBullet2"/>
            </w:pPr>
            <w:r w:rsidRPr="001F6F52">
              <w:t>gloves</w:t>
            </w:r>
          </w:p>
          <w:p w:rsidR="00000000" w:rsidRPr="001F6F52" w:rsidP="001F6F52">
            <w:pPr>
              <w:pStyle w:val="ListBullet2"/>
            </w:pPr>
            <w:r w:rsidRPr="001F6F52">
              <w:t>safety glasses</w:t>
            </w:r>
          </w:p>
          <w:p w:rsidR="00000000" w:rsidRPr="001F6F52" w:rsidP="001F6F52">
            <w:pPr>
              <w:pStyle w:val="ListBullet2"/>
            </w:pPr>
            <w:r w:rsidRPr="001F6F52">
              <w:t>ear protection</w:t>
            </w:r>
          </w:p>
          <w:p w:rsidR="00000000" w:rsidRPr="001F6F52" w:rsidP="001F6F52">
            <w:pPr>
              <w:pStyle w:val="ListBullet2"/>
            </w:pPr>
            <w:r w:rsidRPr="001F6F52">
              <w:t>hard hats</w:t>
            </w:r>
          </w:p>
          <w:p w:rsidR="00000000" w:rsidRPr="001F6F52" w:rsidP="001F6F52">
            <w:pPr>
              <w:pStyle w:val="ListBullet2"/>
            </w:pPr>
            <w:r w:rsidRPr="001F6F52">
              <w:t>safety footwear</w:t>
            </w:r>
          </w:p>
          <w:p w:rsidR="00000000" w:rsidP="001F6F52">
            <w:pPr>
              <w:pStyle w:val="ListBullet2"/>
              <w:rPr>
                <w:lang w:val="en-NZ"/>
              </w:rPr>
            </w:pPr>
            <w:r w:rsidRPr="001F6F52">
              <w:t>aprons and overalls</w:t>
            </w:r>
          </w:p>
        </w:tc>
      </w:tr>
      <w:tr w:rsidTr="001F6F5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F6F52">
            <w:pPr>
              <w:pStyle w:val="BodyText"/>
              <w:rPr>
                <w:lang w:val="en-NZ"/>
              </w:rPr>
            </w:pPr>
            <w:r w:rsidRPr="001F6F52">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1F6F52" w:rsidP="001F6F52">
            <w:pPr>
              <w:pStyle w:val="ListBullet"/>
            </w:pPr>
            <w:r w:rsidRPr="001F6F52">
              <w:t xml:space="preserve">workplace procedures relating to the use of tools and equipment and personal protective equipment </w:t>
            </w:r>
          </w:p>
          <w:p w:rsidR="00000000" w:rsidRPr="001F6F52" w:rsidP="001F6F52">
            <w:pPr>
              <w:pStyle w:val="ListBullet"/>
            </w:pPr>
            <w:r w:rsidRPr="001F6F52">
              <w:t xml:space="preserve">work instructions, including job sheets, cutting lists, plans, drawings and designs </w:t>
            </w:r>
          </w:p>
          <w:p w:rsidR="00000000" w:rsidRPr="001F6F52" w:rsidP="001F6F52">
            <w:pPr>
              <w:pStyle w:val="ListBullet"/>
            </w:pPr>
            <w:r w:rsidRPr="001F6F52">
              <w:t xml:space="preserve">workplace procedures relating to reporting and communication </w:t>
            </w:r>
          </w:p>
          <w:p w:rsidR="00000000" w:rsidRPr="001F6F52" w:rsidP="001F6F52">
            <w:pPr>
              <w:pStyle w:val="ListBullet"/>
            </w:pPr>
            <w:r w:rsidRPr="001F6F52">
              <w:t>manufacturer specifications and operational procedures</w:t>
            </w:r>
          </w:p>
        </w:tc>
      </w:tr>
    </w:tbl>
    <w:p w:rsidR="00000000" w:rsidRPr="001F6F52" w:rsidP="001F6F52">
      <w:pPr>
        <w:pStyle w:val="BodyText"/>
      </w:pPr>
    </w:p>
    <w:p w:rsidR="00000000" w:rsidRPr="001F6F52" w:rsidP="001F6F52">
      <w:pPr>
        <w:pStyle w:val="AllowPageBreak"/>
      </w:pPr>
    </w:p>
    <w:p w:rsidR="00000000" w:rsidRPr="001F6F52" w:rsidP="001F6F52">
      <w:pPr>
        <w:pStyle w:val="Heading1"/>
      </w:pPr>
      <w:bookmarkStart w:id="9" w:name="O_631034"/>
      <w:bookmarkEnd w:id="9"/>
      <w:r w:rsidRPr="001F6F52">
        <w:t>Unit Mapping Information</w:t>
      </w:r>
    </w:p>
    <w:p w:rsidR="00000000" w:rsidRPr="001F6F52" w:rsidP="006F1A9E">
      <w:pPr>
        <w:pStyle w:val="BodyText"/>
      </w:pPr>
      <w:r w:rsidRPr="001F6F52">
        <w:t>Supersedes and is equivalent to LMFGG2001C Use glass and glazing sector hand and power tools.</w:t>
      </w:r>
    </w:p>
    <w:p w:rsidR="00000000" w:rsidRPr="001F6F52" w:rsidP="001F6F52">
      <w:pPr>
        <w:pStyle w:val="Heading1"/>
      </w:pPr>
      <w:bookmarkStart w:id="10" w:name="O_631027"/>
      <w:bookmarkEnd w:id="10"/>
      <w:r w:rsidRPr="001F6F52">
        <w:t>Links</w:t>
      </w:r>
    </w:p>
    <w:p w:rsidR="00000000" w:rsidRPr="001F6F52" w:rsidP="006F1A9E">
      <w:pPr>
        <w:pStyle w:val="BodyText"/>
      </w:pPr>
      <w:r w:rsidRPr="001F6F52">
        <w:t xml:space="preserve">Companion Volume implementation guides are found in VETNet - </w:t>
      </w:r>
      <w:r>
        <w:fldChar w:fldCharType="begin"/>
      </w:r>
      <w:r>
        <w:instrText xml:space="preserve"> HYPERLINK "https://vetnet.education.gov.au/Pages/TrainingDocs.aspx?q=0601ab95-583a-4e93-b2d4-cfb27b03ed73" </w:instrText>
      </w:r>
      <w:r>
        <w:fldChar w:fldCharType="separate"/>
      </w:r>
      <w:r w:rsidRPr="002E44B0">
        <w:rPr>
          <w:rStyle w:val="Hyperlink"/>
        </w:rPr>
        <w:t>https://vetnet.education.gov.au/Pages/TrainingDocs.aspx?q=0601ab95-583a-4e93-b2d4-cfb27b03ed73</w:t>
      </w:r>
      <w:r>
        <w:fldChar w:fldCharType="end"/>
      </w:r>
    </w:p>
    <w:p w:rsidR="00000000" w:rsidRPr="001F6F52" w:rsidP="001F6F52"/>
    <w:sectPr w:rsidSect="001F6F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F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F52" w:rsidRPr="006F1A9E" w:rsidP="006F1A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F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A9E" w:rsidP="001F6F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F1A9E" w:rsidP="001F6F52">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F1A9E" w:rsidP="001F6F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F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A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6F52" w:rsidRPr="006F1A9E" w:rsidP="006F1A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F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A9E" w:rsidRPr="002D2AF8" w:rsidP="001F6F52">
    <w:pPr>
      <w:pStyle w:val="Header"/>
      <w:framePr w:wrap="around"/>
    </w:pPr>
    <w:r>
      <w:fldChar w:fldCharType="begin"/>
    </w:r>
    <w:r>
      <w:instrText xml:space="preserve"> TITLE   \* MERGEFORMAT </w:instrText>
    </w:r>
    <w:r>
      <w:fldChar w:fldCharType="separate"/>
    </w:r>
    <w:r>
      <w:t>MSFGG2001 Use glass and glazing sector hand and power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6F1A9E" w:rsidP="001F6F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98D0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94B7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4A46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F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6F52"/>
    <w:pPr>
      <w:spacing w:before="360" w:after="60"/>
      <w:outlineLvl w:val="0"/>
    </w:pPr>
    <w:rPr>
      <w:sz w:val="32"/>
    </w:rPr>
  </w:style>
  <w:style w:type="paragraph" w:styleId="Heading2">
    <w:name w:val="heading 2"/>
    <w:basedOn w:val="HeadingBase"/>
    <w:next w:val="BodyText"/>
    <w:link w:val="Heading2Char"/>
    <w:qFormat/>
    <w:rsid w:val="001F6F52"/>
    <w:pPr>
      <w:keepLines/>
      <w:spacing w:before="240" w:after="120"/>
      <w:outlineLvl w:val="1"/>
    </w:pPr>
    <w:rPr>
      <w:sz w:val="28"/>
      <w:szCs w:val="40"/>
    </w:rPr>
  </w:style>
  <w:style w:type="paragraph" w:styleId="Heading3">
    <w:name w:val="heading 3"/>
    <w:basedOn w:val="HeadingBase"/>
    <w:next w:val="BodyText"/>
    <w:link w:val="Heading3Char"/>
    <w:qFormat/>
    <w:rsid w:val="001F6F52"/>
    <w:pPr>
      <w:spacing w:before="180" w:after="120"/>
      <w:outlineLvl w:val="2"/>
    </w:pPr>
    <w:rPr>
      <w:spacing w:val="-10"/>
      <w:kern w:val="32"/>
    </w:rPr>
  </w:style>
  <w:style w:type="paragraph" w:styleId="Heading4">
    <w:name w:val="heading 4"/>
    <w:basedOn w:val="HeadingBase"/>
    <w:next w:val="BodyText"/>
    <w:link w:val="Heading4Char"/>
    <w:qFormat/>
    <w:rsid w:val="001F6F52"/>
    <w:pPr>
      <w:spacing w:before="160" w:after="120"/>
      <w:outlineLvl w:val="3"/>
    </w:pPr>
    <w:rPr>
      <w:sz w:val="22"/>
    </w:rPr>
  </w:style>
  <w:style w:type="paragraph" w:styleId="Heading5">
    <w:name w:val="heading 5"/>
    <w:basedOn w:val="HeadingBase"/>
    <w:next w:val="Normal"/>
    <w:link w:val="Heading5Char"/>
    <w:qFormat/>
    <w:rsid w:val="001F6F52"/>
    <w:pPr>
      <w:spacing w:before="80"/>
      <w:outlineLvl w:val="4"/>
    </w:pPr>
    <w:rPr>
      <w:color w:val="918585"/>
      <w:sz w:val="20"/>
    </w:rPr>
  </w:style>
  <w:style w:type="paragraph" w:styleId="Heading6">
    <w:name w:val="heading 6"/>
    <w:basedOn w:val="HeadingBase"/>
    <w:next w:val="Normal"/>
    <w:link w:val="Heading6Char"/>
    <w:qFormat/>
    <w:rsid w:val="001F6F52"/>
    <w:pPr>
      <w:spacing w:before="60"/>
      <w:outlineLvl w:val="5"/>
    </w:pPr>
    <w:rPr>
      <w:color w:val="918585"/>
      <w:sz w:val="20"/>
    </w:rPr>
  </w:style>
  <w:style w:type="paragraph" w:styleId="Heading7">
    <w:name w:val="heading 7"/>
    <w:basedOn w:val="Normal"/>
    <w:next w:val="Normal"/>
    <w:link w:val="Heading7Char"/>
    <w:qFormat/>
    <w:rsid w:val="001F6F52"/>
    <w:pPr>
      <w:ind w:left="720"/>
      <w:outlineLvl w:val="6"/>
    </w:pPr>
    <w:rPr>
      <w:i/>
    </w:rPr>
  </w:style>
  <w:style w:type="paragraph" w:styleId="Heading8">
    <w:name w:val="heading 8"/>
    <w:basedOn w:val="Normal"/>
    <w:next w:val="Normal"/>
    <w:link w:val="Heading8Char"/>
    <w:qFormat/>
    <w:rsid w:val="001F6F52"/>
    <w:pPr>
      <w:ind w:left="720"/>
      <w:outlineLvl w:val="7"/>
    </w:pPr>
    <w:rPr>
      <w:i/>
    </w:rPr>
  </w:style>
  <w:style w:type="paragraph" w:styleId="Heading9">
    <w:name w:val="heading 9"/>
    <w:basedOn w:val="Normal"/>
    <w:next w:val="Normal"/>
    <w:link w:val="Heading9Char"/>
    <w:qFormat/>
    <w:rsid w:val="001F6F52"/>
    <w:pPr>
      <w:ind w:left="720"/>
      <w:outlineLvl w:val="8"/>
    </w:pPr>
    <w:rPr>
      <w:i/>
    </w:rPr>
  </w:style>
  <w:style w:type="character" w:default="1" w:styleId="DefaultParagraphFont">
    <w:name w:val="Default Paragraph Font"/>
    <w:uiPriority w:val="1"/>
    <w:unhideWhenUsed/>
    <w:rsid w:val="001F6F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6F52"/>
  </w:style>
  <w:style w:type="character" w:customStyle="1" w:styleId="Heading1Char">
    <w:name w:val="Heading 1 Char"/>
    <w:basedOn w:val="DefaultParagraphFont"/>
    <w:link w:val="Heading1"/>
    <w:rsid w:val="001F6F52"/>
    <w:rPr>
      <w:rFonts w:ascii="Times New Roman" w:eastAsia="Times New Roman" w:hAnsi="Times New Roman" w:cs="Times New Roman"/>
      <w:b/>
      <w:sz w:val="32"/>
      <w:szCs w:val="20"/>
      <w:lang w:eastAsia="en-US"/>
    </w:rPr>
  </w:style>
  <w:style w:type="paragraph" w:styleId="BodyText">
    <w:name w:val="Body Text"/>
    <w:basedOn w:val="Normal"/>
    <w:link w:val="BodyTextChar"/>
    <w:rsid w:val="001F6F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6F52"/>
    <w:rPr>
      <w:rFonts w:ascii="Times New Roman" w:eastAsia="Times New Roman" w:hAnsi="Times New Roman" w:cs="Times New Roman"/>
      <w:sz w:val="24"/>
      <w:lang w:eastAsia="en-US"/>
    </w:rPr>
  </w:style>
  <w:style w:type="paragraph" w:styleId="ListBullet">
    <w:name w:val="List Bullet"/>
    <w:basedOn w:val="List"/>
    <w:rsid w:val="001F6F52"/>
    <w:pPr>
      <w:numPr>
        <w:numId w:val="12"/>
      </w:numPr>
      <w:tabs>
        <w:tab w:val="clear" w:pos="340"/>
      </w:tabs>
      <w:spacing w:before="40" w:after="40"/>
    </w:pPr>
  </w:style>
  <w:style w:type="character" w:customStyle="1" w:styleId="SpecialBold">
    <w:name w:val="Special Bold"/>
    <w:basedOn w:val="DefaultParagraphFont"/>
    <w:rsid w:val="001F6F52"/>
    <w:rPr>
      <w:b/>
      <w:spacing w:val="0"/>
    </w:rPr>
  </w:style>
  <w:style w:type="paragraph" w:styleId="ListBullet2">
    <w:name w:val="List Bullet 2"/>
    <w:basedOn w:val="List2"/>
    <w:rsid w:val="001F6F52"/>
    <w:pPr>
      <w:numPr>
        <w:numId w:val="13"/>
      </w:numPr>
      <w:tabs>
        <w:tab w:val="clear" w:pos="680"/>
      </w:tabs>
    </w:pPr>
  </w:style>
  <w:style w:type="paragraph" w:customStyle="1" w:styleId="SuperHeading">
    <w:name w:val="SuperHeading"/>
    <w:basedOn w:val="Normal"/>
    <w:rsid w:val="001F6F52"/>
    <w:pPr>
      <w:spacing w:before="240" w:after="120"/>
      <w:outlineLvl w:val="0"/>
    </w:pPr>
    <w:rPr>
      <w:rFonts w:ascii="Times New Roman" w:hAnsi="Times New Roman"/>
      <w:b/>
      <w:sz w:val="32"/>
    </w:rPr>
  </w:style>
  <w:style w:type="paragraph" w:customStyle="1" w:styleId="AllowPageBreak">
    <w:name w:val="AllowPageBreak"/>
    <w:rsid w:val="001F6F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6F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6F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6F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6F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6F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6F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6F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6F52"/>
    <w:rPr>
      <w:rFonts w:ascii="Courier New" w:eastAsia="Times New Roman" w:hAnsi="Courier New" w:cs="Times New Roman"/>
      <w:i/>
      <w:szCs w:val="20"/>
      <w:lang w:eastAsia="en-US"/>
    </w:rPr>
  </w:style>
  <w:style w:type="paragraph" w:customStyle="1" w:styleId="HeadingBase">
    <w:name w:val="Heading Base"/>
    <w:rsid w:val="001F6F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6F52"/>
    <w:pPr>
      <w:tabs>
        <w:tab w:val="right" w:leader="dot" w:pos="9072"/>
      </w:tabs>
      <w:ind w:left="567"/>
    </w:pPr>
    <w:rPr>
      <w:szCs w:val="22"/>
    </w:rPr>
  </w:style>
  <w:style w:type="paragraph" w:customStyle="1" w:styleId="TOCBase">
    <w:name w:val="TOC Base"/>
    <w:rsid w:val="001F6F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6F52"/>
    <w:pPr>
      <w:tabs>
        <w:tab w:val="right" w:leader="dot" w:pos="9072"/>
      </w:tabs>
      <w:spacing w:before="40" w:after="40"/>
      <w:ind w:left="284"/>
    </w:pPr>
    <w:rPr>
      <w:rFonts w:ascii="Times New Roman" w:hAnsi="Times New Roman"/>
    </w:rPr>
  </w:style>
  <w:style w:type="paragraph" w:styleId="TOC1">
    <w:name w:val="toc 1"/>
    <w:basedOn w:val="TOCBase"/>
    <w:next w:val="Normal"/>
    <w:rsid w:val="001F6F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6F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6F52"/>
    <w:rPr>
      <w:rFonts w:ascii="Times New Roman" w:eastAsia="Times New Roman" w:hAnsi="Times New Roman" w:cs="Times New Roman"/>
      <w:sz w:val="16"/>
      <w:lang w:eastAsia="en-US"/>
    </w:rPr>
  </w:style>
  <w:style w:type="paragraph" w:styleId="Title">
    <w:name w:val="Title"/>
    <w:basedOn w:val="HeadingBase"/>
    <w:link w:val="TitleChar"/>
    <w:qFormat/>
    <w:rsid w:val="001F6F52"/>
    <w:pPr>
      <w:spacing w:before="5040"/>
      <w:jc w:val="center"/>
    </w:pPr>
    <w:rPr>
      <w:sz w:val="48"/>
      <w:szCs w:val="72"/>
      <w:lang w:val="en-US"/>
    </w:rPr>
  </w:style>
  <w:style w:type="character" w:customStyle="1" w:styleId="TitleChar">
    <w:name w:val="Title Char"/>
    <w:basedOn w:val="DefaultParagraphFont"/>
    <w:link w:val="Title"/>
    <w:rsid w:val="001F6F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6F52"/>
    <w:pPr>
      <w:tabs>
        <w:tab w:val="left" w:pos="3600"/>
        <w:tab w:val="left" w:pos="3958"/>
      </w:tabs>
    </w:pPr>
  </w:style>
  <w:style w:type="paragraph" w:styleId="List">
    <w:name w:val="List"/>
    <w:basedOn w:val="BodyText"/>
    <w:next w:val="BodyText"/>
    <w:rsid w:val="001F6F52"/>
    <w:pPr>
      <w:tabs>
        <w:tab w:val="left" w:pos="340"/>
      </w:tabs>
      <w:spacing w:before="60" w:after="60"/>
      <w:ind w:left="340" w:hanging="340"/>
    </w:pPr>
  </w:style>
  <w:style w:type="paragraph" w:customStyle="1" w:styleId="Note">
    <w:name w:val="Note"/>
    <w:basedOn w:val="BodyText"/>
    <w:rsid w:val="001F6F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6F52"/>
    <w:pPr>
      <w:framePr w:wrap="auto" w:hAnchor="text" w:y="6049"/>
    </w:pPr>
    <w:rPr>
      <w:color w:val="000000"/>
      <w:sz w:val="40"/>
    </w:rPr>
  </w:style>
  <w:style w:type="paragraph" w:customStyle="1" w:styleId="TOCTitle">
    <w:name w:val="TOCTitle"/>
    <w:basedOn w:val="Heading1"/>
    <w:rsid w:val="001F6F52"/>
    <w:pPr>
      <w:spacing w:after="240"/>
      <w:jc w:val="center"/>
      <w:outlineLvl w:val="9"/>
    </w:pPr>
    <w:rPr>
      <w:caps/>
    </w:rPr>
  </w:style>
  <w:style w:type="paragraph" w:customStyle="1" w:styleId="Version">
    <w:name w:val="Version"/>
    <w:rsid w:val="001F6F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6F52"/>
    <w:pPr>
      <w:keepNext w:val="0"/>
      <w:tabs>
        <w:tab w:val="right" w:pos="4176"/>
      </w:tabs>
      <w:ind w:left="198" w:hanging="198"/>
    </w:pPr>
    <w:rPr>
      <w:rFonts w:ascii="Garamond" w:hAnsi="Garamond"/>
    </w:rPr>
  </w:style>
  <w:style w:type="paragraph" w:styleId="IndexHeading">
    <w:name w:val="index heading"/>
    <w:basedOn w:val="Normal"/>
    <w:next w:val="Index1"/>
    <w:semiHidden/>
    <w:rsid w:val="001F6F52"/>
    <w:pPr>
      <w:spacing w:before="120" w:after="120"/>
    </w:pPr>
    <w:rPr>
      <w:rFonts w:ascii="Arial" w:hAnsi="Arial"/>
      <w:b/>
      <w:color w:val="918585"/>
      <w:sz w:val="24"/>
    </w:rPr>
  </w:style>
  <w:style w:type="paragraph" w:styleId="Header">
    <w:name w:val="header"/>
    <w:basedOn w:val="Normal"/>
    <w:link w:val="HeaderChar"/>
    <w:rsid w:val="001F6F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6F52"/>
    <w:rPr>
      <w:rFonts w:ascii="Times New Roman" w:eastAsia="Times New Roman" w:hAnsi="Times New Roman" w:cs="Times New Roman"/>
      <w:sz w:val="16"/>
      <w:szCs w:val="20"/>
      <w:lang w:val="en-GB" w:eastAsia="en-US"/>
    </w:rPr>
  </w:style>
  <w:style w:type="paragraph" w:customStyle="1" w:styleId="Chapter">
    <w:name w:val="Chapter"/>
    <w:basedOn w:val="Normal"/>
    <w:rsid w:val="001F6F52"/>
    <w:pPr>
      <w:spacing w:before="240"/>
    </w:pPr>
    <w:rPr>
      <w:rFonts w:ascii="Times New Roman" w:hAnsi="Times New Roman"/>
      <w:smallCaps/>
      <w:spacing w:val="80"/>
      <w:sz w:val="28"/>
    </w:rPr>
  </w:style>
  <w:style w:type="paragraph" w:customStyle="1" w:styleId="InChapter">
    <w:name w:val="InChapter"/>
    <w:basedOn w:val="Heading3"/>
    <w:rsid w:val="001F6F52"/>
    <w:pPr>
      <w:spacing w:after="240"/>
      <w:outlineLvl w:val="9"/>
    </w:pPr>
    <w:rPr>
      <w:noProof/>
    </w:rPr>
  </w:style>
  <w:style w:type="paragraph" w:styleId="Index2">
    <w:name w:val="index 2"/>
    <w:basedOn w:val="Normal"/>
    <w:next w:val="Normal"/>
    <w:semiHidden/>
    <w:rsid w:val="001F6F52"/>
    <w:pPr>
      <w:tabs>
        <w:tab w:val="right" w:pos="4176"/>
      </w:tabs>
      <w:ind w:left="568" w:hanging="284"/>
    </w:pPr>
    <w:rPr>
      <w:rFonts w:ascii="Garamond" w:hAnsi="Garamond"/>
    </w:rPr>
  </w:style>
  <w:style w:type="paragraph" w:customStyle="1" w:styleId="Byline">
    <w:name w:val="Byline"/>
    <w:rsid w:val="001F6F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6F52"/>
    <w:pPr>
      <w:tabs>
        <w:tab w:val="clear" w:pos="3600"/>
        <w:tab w:val="clear" w:pos="3958"/>
      </w:tabs>
      <w:jc w:val="right"/>
    </w:pPr>
  </w:style>
  <w:style w:type="character" w:styleId="Emphasis">
    <w:name w:val="Emphasis"/>
    <w:basedOn w:val="DefaultParagraphFont"/>
    <w:qFormat/>
    <w:rsid w:val="001F6F52"/>
    <w:rPr>
      <w:i/>
    </w:rPr>
  </w:style>
  <w:style w:type="paragraph" w:styleId="Caption">
    <w:name w:val="caption"/>
    <w:basedOn w:val="BodyText"/>
    <w:next w:val="Normal"/>
    <w:qFormat/>
    <w:rsid w:val="001F6F52"/>
    <w:pPr>
      <w:framePr w:w="2268" w:hSpace="181" w:vSpace="181" w:wrap="around" w:vAnchor="text" w:hAnchor="page" w:x="1135" w:y="285" w:anchorLock="1"/>
    </w:pPr>
    <w:rPr>
      <w:i/>
    </w:rPr>
  </w:style>
  <w:style w:type="paragraph" w:customStyle="1" w:styleId="MiniTOCTitle">
    <w:name w:val="MiniTOCTitle"/>
    <w:basedOn w:val="Heading4"/>
    <w:rsid w:val="001F6F52"/>
    <w:pPr>
      <w:spacing w:before="240"/>
      <w:outlineLvl w:val="9"/>
    </w:pPr>
    <w:rPr>
      <w:noProof/>
      <w:sz w:val="24"/>
    </w:rPr>
  </w:style>
  <w:style w:type="paragraph" w:customStyle="1" w:styleId="MiniTOCItem">
    <w:name w:val="MiniTOCItem"/>
    <w:basedOn w:val="ListBullet"/>
    <w:rsid w:val="001F6F52"/>
    <w:pPr>
      <w:numPr>
        <w:numId w:val="0"/>
      </w:numPr>
      <w:tabs>
        <w:tab w:val="right" w:leader="dot" w:pos="6521"/>
      </w:tabs>
      <w:spacing w:before="0" w:after="0"/>
    </w:pPr>
  </w:style>
  <w:style w:type="paragraph" w:customStyle="1" w:styleId="TOFTitle">
    <w:name w:val="TOFTitle"/>
    <w:basedOn w:val="TOCTitle"/>
    <w:rsid w:val="001F6F52"/>
  </w:style>
  <w:style w:type="paragraph" w:styleId="TableofFigures">
    <w:name w:val="table of figures"/>
    <w:basedOn w:val="Normal"/>
    <w:next w:val="Normal"/>
    <w:semiHidden/>
    <w:rsid w:val="001F6F52"/>
    <w:pPr>
      <w:tabs>
        <w:tab w:val="right" w:leader="dot" w:pos="9072"/>
      </w:tabs>
      <w:ind w:left="970" w:hanging="403"/>
    </w:pPr>
    <w:rPr>
      <w:rFonts w:ascii="Times New Roman" w:hAnsi="Times New Roman"/>
      <w:b/>
    </w:rPr>
  </w:style>
  <w:style w:type="paragraph" w:styleId="ListNumber">
    <w:name w:val="List Number"/>
    <w:basedOn w:val="List"/>
    <w:rsid w:val="001F6F52"/>
    <w:pPr>
      <w:numPr>
        <w:numId w:val="15"/>
      </w:numPr>
      <w:tabs>
        <w:tab w:val="clear" w:pos="340"/>
      </w:tabs>
    </w:pPr>
  </w:style>
  <w:style w:type="character" w:customStyle="1" w:styleId="WingdingSymbols">
    <w:name w:val="Wingding Symbols"/>
    <w:rsid w:val="001F6F52"/>
    <w:rPr>
      <w:rFonts w:ascii="Wingdings" w:hAnsi="Wingdings"/>
    </w:rPr>
  </w:style>
  <w:style w:type="paragraph" w:customStyle="1" w:styleId="TableHeading">
    <w:name w:val="Table Heading"/>
    <w:basedOn w:val="HeadingBase"/>
    <w:rsid w:val="001F6F52"/>
    <w:pPr>
      <w:keepLines/>
      <w:pBdr>
        <w:bottom w:val="single" w:sz="6" w:space="1" w:color="918585"/>
      </w:pBdr>
      <w:spacing w:before="240"/>
    </w:pPr>
  </w:style>
  <w:style w:type="character" w:customStyle="1" w:styleId="HotSpot">
    <w:name w:val="HotSpot"/>
    <w:rsid w:val="001F6F52"/>
    <w:rPr>
      <w:color w:val="0033CC"/>
      <w:u w:val="none"/>
    </w:rPr>
  </w:style>
  <w:style w:type="paragraph" w:customStyle="1" w:styleId="BodyTextRight">
    <w:name w:val="Body Text Right"/>
    <w:basedOn w:val="BodyText"/>
    <w:rsid w:val="001F6F52"/>
    <w:pPr>
      <w:spacing w:before="0" w:after="0"/>
      <w:jc w:val="right"/>
    </w:pPr>
  </w:style>
  <w:style w:type="paragraph" w:styleId="Index3">
    <w:name w:val="index 3"/>
    <w:basedOn w:val="ListNumber2"/>
    <w:next w:val="Normal"/>
    <w:semiHidden/>
    <w:rsid w:val="001F6F52"/>
    <w:pPr>
      <w:numPr>
        <w:numId w:val="0"/>
      </w:numPr>
      <w:tabs>
        <w:tab w:val="right" w:leader="dot" w:pos="4176"/>
      </w:tabs>
    </w:pPr>
  </w:style>
  <w:style w:type="paragraph" w:styleId="ListNumber2">
    <w:name w:val="List Number 2"/>
    <w:basedOn w:val="List2"/>
    <w:rsid w:val="001F6F52"/>
    <w:pPr>
      <w:numPr>
        <w:numId w:val="10"/>
      </w:numPr>
      <w:tabs>
        <w:tab w:val="clear" w:pos="1060"/>
      </w:tabs>
    </w:pPr>
  </w:style>
  <w:style w:type="paragraph" w:customStyle="1" w:styleId="MarginNote">
    <w:name w:val="Margin Note"/>
    <w:basedOn w:val="BodyText"/>
    <w:rsid w:val="001F6F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6F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6F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6F52"/>
    <w:rPr>
      <w:sz w:val="32"/>
    </w:rPr>
  </w:style>
  <w:style w:type="paragraph" w:customStyle="1" w:styleId="HeadingProcedure">
    <w:name w:val="Heading Procedure"/>
    <w:basedOn w:val="HeadingBase"/>
    <w:next w:val="Normal"/>
    <w:rsid w:val="001F6F52"/>
    <w:pPr>
      <w:tabs>
        <w:tab w:val="left" w:pos="0"/>
      </w:tabs>
      <w:spacing w:before="120" w:after="60"/>
    </w:pPr>
    <w:rPr>
      <w:i/>
      <w:color w:val="918585"/>
      <w:sz w:val="22"/>
    </w:rPr>
  </w:style>
  <w:style w:type="paragraph" w:customStyle="1" w:styleId="TableBodyText">
    <w:name w:val="Table Body Text"/>
    <w:basedOn w:val="BodyText"/>
    <w:rsid w:val="001F6F52"/>
    <w:pPr>
      <w:spacing w:before="60" w:after="60"/>
    </w:pPr>
  </w:style>
  <w:style w:type="paragraph" w:styleId="ListContinue">
    <w:name w:val="List Continue"/>
    <w:basedOn w:val="List"/>
    <w:rsid w:val="001F6F52"/>
    <w:pPr>
      <w:ind w:firstLine="0"/>
    </w:pPr>
  </w:style>
  <w:style w:type="paragraph" w:customStyle="1" w:styleId="ListNote">
    <w:name w:val="List Note"/>
    <w:basedOn w:val="List"/>
    <w:rsid w:val="001F6F52"/>
    <w:pPr>
      <w:pBdr>
        <w:top w:val="single" w:sz="6" w:space="2" w:color="918585"/>
        <w:bottom w:val="single" w:sz="6" w:space="2" w:color="918585"/>
      </w:pBdr>
      <w:tabs>
        <w:tab w:val="left" w:pos="1021"/>
      </w:tabs>
      <w:ind w:firstLine="0"/>
    </w:pPr>
  </w:style>
  <w:style w:type="paragraph" w:customStyle="1" w:styleId="Warning">
    <w:name w:val="Warning"/>
    <w:basedOn w:val="BodyText"/>
    <w:rsid w:val="001F6F52"/>
    <w:pPr>
      <w:shd w:val="clear" w:color="auto" w:fill="D9D9D9"/>
      <w:tabs>
        <w:tab w:val="left" w:pos="992"/>
      </w:tabs>
      <w:ind w:left="119" w:right="119"/>
    </w:pPr>
    <w:rPr>
      <w:sz w:val="20"/>
    </w:rPr>
  </w:style>
  <w:style w:type="paragraph" w:customStyle="1" w:styleId="MarginIcons">
    <w:name w:val="Margin Icons"/>
    <w:basedOn w:val="BodyText"/>
    <w:rsid w:val="001F6F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6F52"/>
    <w:rPr>
      <w:rFonts w:ascii="Courier New" w:hAnsi="Courier New"/>
    </w:rPr>
  </w:style>
  <w:style w:type="paragraph" w:customStyle="1" w:styleId="NoteBullet">
    <w:name w:val="Note Bullet"/>
    <w:basedOn w:val="Note"/>
    <w:rsid w:val="001F6F52"/>
    <w:pPr>
      <w:tabs>
        <w:tab w:val="clear" w:pos="680"/>
      </w:tabs>
      <w:spacing w:before="60" w:after="60"/>
    </w:pPr>
  </w:style>
  <w:style w:type="paragraph" w:customStyle="1" w:styleId="SubHeading2">
    <w:name w:val="SubHeading2"/>
    <w:basedOn w:val="HeadingBase"/>
    <w:rsid w:val="001F6F52"/>
    <w:pPr>
      <w:spacing w:before="240" w:after="60"/>
    </w:pPr>
    <w:rPr>
      <w:sz w:val="20"/>
    </w:rPr>
  </w:style>
  <w:style w:type="paragraph" w:customStyle="1" w:styleId="SubHeading1">
    <w:name w:val="SubHeading1"/>
    <w:basedOn w:val="HeadingBase"/>
    <w:rsid w:val="001F6F52"/>
    <w:pPr>
      <w:spacing w:before="240" w:after="60"/>
    </w:pPr>
    <w:rPr>
      <w:color w:val="918585"/>
      <w:sz w:val="22"/>
    </w:rPr>
  </w:style>
  <w:style w:type="paragraph" w:customStyle="1" w:styleId="SideHeading">
    <w:name w:val="Side Heading"/>
    <w:basedOn w:val="HeadingBase"/>
    <w:rsid w:val="001F6F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6F52"/>
    <w:pPr>
      <w:tabs>
        <w:tab w:val="num" w:pos="360"/>
      </w:tabs>
    </w:pPr>
  </w:style>
  <w:style w:type="paragraph" w:styleId="PlainText">
    <w:name w:val="Plain Text"/>
    <w:basedOn w:val="Normal"/>
    <w:link w:val="PlainTextChar"/>
    <w:rsid w:val="001F6F52"/>
    <w:rPr>
      <w:sz w:val="20"/>
    </w:rPr>
  </w:style>
  <w:style w:type="character" w:customStyle="1" w:styleId="PlainTextChar">
    <w:name w:val="Plain Text Char"/>
    <w:basedOn w:val="DefaultParagraphFont"/>
    <w:link w:val="PlainText"/>
    <w:rsid w:val="001F6F52"/>
    <w:rPr>
      <w:rFonts w:ascii="Courier New" w:eastAsia="Times New Roman" w:hAnsi="Courier New" w:cs="Times New Roman"/>
      <w:sz w:val="20"/>
      <w:szCs w:val="20"/>
      <w:lang w:eastAsia="en-US"/>
    </w:rPr>
  </w:style>
  <w:style w:type="character" w:customStyle="1" w:styleId="MenuOption">
    <w:name w:val="Menu Option"/>
    <w:basedOn w:val="DefaultParagraphFont"/>
    <w:rsid w:val="001F6F52"/>
    <w:rPr>
      <w:b/>
      <w:smallCaps/>
    </w:rPr>
  </w:style>
  <w:style w:type="paragraph" w:customStyle="1" w:styleId="TableListNumber">
    <w:name w:val="Table List Number"/>
    <w:basedOn w:val="ListNumber"/>
    <w:rsid w:val="001F6F52"/>
    <w:pPr>
      <w:numPr>
        <w:numId w:val="0"/>
      </w:numPr>
    </w:pPr>
  </w:style>
  <w:style w:type="paragraph" w:styleId="TOC4">
    <w:name w:val="toc 4"/>
    <w:basedOn w:val="TOCBase"/>
    <w:next w:val="Normal"/>
    <w:semiHidden/>
    <w:rsid w:val="001F6F52"/>
    <w:pPr>
      <w:tabs>
        <w:tab w:val="right" w:leader="dot" w:pos="9071"/>
      </w:tabs>
      <w:ind w:left="1701"/>
    </w:pPr>
  </w:style>
  <w:style w:type="paragraph" w:customStyle="1" w:styleId="ListAlpha">
    <w:name w:val="List Alpha"/>
    <w:basedOn w:val="List"/>
    <w:rsid w:val="001F6F52"/>
    <w:pPr>
      <w:numPr>
        <w:numId w:val="9"/>
      </w:numPr>
    </w:pPr>
  </w:style>
  <w:style w:type="paragraph" w:customStyle="1" w:styleId="ListAlpha2">
    <w:name w:val="List Alpha 2"/>
    <w:basedOn w:val="List2"/>
    <w:rsid w:val="001F6F52"/>
    <w:pPr>
      <w:numPr>
        <w:numId w:val="8"/>
      </w:numPr>
    </w:pPr>
  </w:style>
  <w:style w:type="paragraph" w:styleId="List2">
    <w:name w:val="List 2"/>
    <w:basedOn w:val="BodyText"/>
    <w:rsid w:val="001F6F52"/>
    <w:pPr>
      <w:tabs>
        <w:tab w:val="left" w:pos="680"/>
      </w:tabs>
      <w:spacing w:before="60" w:after="60"/>
      <w:ind w:left="680" w:hanging="340"/>
    </w:pPr>
  </w:style>
  <w:style w:type="paragraph" w:styleId="List3">
    <w:name w:val="List 3"/>
    <w:basedOn w:val="BodyText"/>
    <w:rsid w:val="001F6F52"/>
    <w:pPr>
      <w:tabs>
        <w:tab w:val="left" w:pos="1021"/>
      </w:tabs>
      <w:spacing w:before="60" w:after="60"/>
      <w:ind w:left="1020" w:hanging="340"/>
    </w:pPr>
  </w:style>
  <w:style w:type="paragraph" w:styleId="List4">
    <w:name w:val="List 4"/>
    <w:basedOn w:val="BodyText"/>
    <w:rsid w:val="001F6F52"/>
    <w:pPr>
      <w:tabs>
        <w:tab w:val="left" w:pos="1361"/>
      </w:tabs>
      <w:spacing w:before="60" w:after="60"/>
      <w:ind w:left="1361" w:hanging="340"/>
    </w:pPr>
  </w:style>
  <w:style w:type="paragraph" w:styleId="List5">
    <w:name w:val="List 5"/>
    <w:basedOn w:val="BodyText"/>
    <w:rsid w:val="001F6F52"/>
    <w:pPr>
      <w:tabs>
        <w:tab w:val="left" w:pos="1701"/>
      </w:tabs>
      <w:spacing w:before="60" w:after="60"/>
      <w:ind w:left="1701" w:hanging="340"/>
    </w:pPr>
  </w:style>
  <w:style w:type="paragraph" w:styleId="ListBullet3">
    <w:name w:val="List Bullet 3"/>
    <w:basedOn w:val="List3"/>
    <w:rsid w:val="001F6F52"/>
    <w:pPr>
      <w:numPr>
        <w:numId w:val="14"/>
      </w:numPr>
      <w:tabs>
        <w:tab w:val="clear" w:pos="1021"/>
      </w:tabs>
      <w:ind w:left="1037" w:hanging="357"/>
    </w:pPr>
  </w:style>
  <w:style w:type="paragraph" w:styleId="ListBullet4">
    <w:name w:val="List Bullet 4"/>
    <w:basedOn w:val="List4"/>
    <w:rsid w:val="001F6F52"/>
    <w:pPr>
      <w:numPr>
        <w:numId w:val="3"/>
      </w:numPr>
      <w:tabs>
        <w:tab w:val="clear" w:pos="1361"/>
      </w:tabs>
    </w:pPr>
  </w:style>
  <w:style w:type="paragraph" w:styleId="ListBullet5">
    <w:name w:val="List Bullet 5"/>
    <w:basedOn w:val="List5"/>
    <w:rsid w:val="001F6F52"/>
    <w:pPr>
      <w:numPr>
        <w:numId w:val="4"/>
      </w:numPr>
    </w:pPr>
  </w:style>
  <w:style w:type="paragraph" w:styleId="ListContinue2">
    <w:name w:val="List Continue 2"/>
    <w:basedOn w:val="List2"/>
    <w:rsid w:val="001F6F52"/>
    <w:pPr>
      <w:ind w:firstLine="0"/>
    </w:pPr>
  </w:style>
  <w:style w:type="paragraph" w:styleId="ListContinue3">
    <w:name w:val="List Continue 3"/>
    <w:basedOn w:val="List3"/>
    <w:rsid w:val="001F6F52"/>
    <w:pPr>
      <w:ind w:left="1021" w:firstLine="0"/>
    </w:pPr>
  </w:style>
  <w:style w:type="paragraph" w:styleId="ListContinue4">
    <w:name w:val="List Continue 4"/>
    <w:basedOn w:val="List4"/>
    <w:rsid w:val="001F6F52"/>
    <w:pPr>
      <w:ind w:firstLine="0"/>
    </w:pPr>
  </w:style>
  <w:style w:type="paragraph" w:styleId="ListContinue5">
    <w:name w:val="List Continue 5"/>
    <w:basedOn w:val="List5"/>
    <w:rsid w:val="001F6F52"/>
    <w:pPr>
      <w:ind w:firstLine="0"/>
    </w:pPr>
  </w:style>
  <w:style w:type="paragraph" w:styleId="ListNumber3">
    <w:name w:val="List Number 3"/>
    <w:basedOn w:val="List3"/>
    <w:rsid w:val="001F6F52"/>
    <w:pPr>
      <w:numPr>
        <w:numId w:val="5"/>
      </w:numPr>
    </w:pPr>
  </w:style>
  <w:style w:type="paragraph" w:styleId="ListNumber4">
    <w:name w:val="List Number 4"/>
    <w:basedOn w:val="List4"/>
    <w:rsid w:val="001F6F52"/>
    <w:pPr>
      <w:numPr>
        <w:numId w:val="6"/>
      </w:numPr>
    </w:pPr>
  </w:style>
  <w:style w:type="paragraph" w:styleId="ListNumber5">
    <w:name w:val="List Number 5"/>
    <w:basedOn w:val="List5"/>
    <w:rsid w:val="001F6F52"/>
    <w:pPr>
      <w:numPr>
        <w:numId w:val="7"/>
      </w:numPr>
    </w:pPr>
  </w:style>
  <w:style w:type="paragraph" w:styleId="BlockText">
    <w:name w:val="Block Text"/>
    <w:basedOn w:val="Normal"/>
    <w:rsid w:val="001F6F52"/>
    <w:pPr>
      <w:spacing w:after="120"/>
      <w:ind w:left="1440" w:right="1440"/>
    </w:pPr>
  </w:style>
  <w:style w:type="character" w:customStyle="1" w:styleId="Subscript">
    <w:name w:val="Subscript"/>
    <w:basedOn w:val="DefaultParagraphFont"/>
    <w:rsid w:val="001F6F52"/>
    <w:rPr>
      <w:sz w:val="16"/>
      <w:vertAlign w:val="subscript"/>
    </w:rPr>
  </w:style>
  <w:style w:type="character" w:customStyle="1" w:styleId="Superscript">
    <w:name w:val="Superscript"/>
    <w:basedOn w:val="DefaultParagraphFont"/>
    <w:rsid w:val="001F6F52"/>
    <w:rPr>
      <w:sz w:val="16"/>
      <w:vertAlign w:val="superscript"/>
    </w:rPr>
  </w:style>
  <w:style w:type="character" w:customStyle="1" w:styleId="Symbols">
    <w:name w:val="Symbols"/>
    <w:basedOn w:val="DefaultParagraphFont"/>
    <w:rsid w:val="001F6F52"/>
    <w:rPr>
      <w:rFonts w:ascii="Symbol" w:hAnsi="Symbol"/>
    </w:rPr>
  </w:style>
  <w:style w:type="character" w:customStyle="1" w:styleId="MenuOptions">
    <w:name w:val="Menu Options"/>
    <w:basedOn w:val="DefaultParagraphFont"/>
    <w:rsid w:val="001F6F52"/>
    <w:rPr>
      <w:rFonts w:ascii="Arial Narrow" w:hAnsi="Arial Narrow"/>
      <w:smallCaps/>
    </w:rPr>
  </w:style>
  <w:style w:type="character" w:customStyle="1" w:styleId="Buttons">
    <w:name w:val="Buttons"/>
    <w:basedOn w:val="DefaultParagraphFont"/>
    <w:rsid w:val="001F6F52"/>
    <w:rPr>
      <w:b/>
    </w:rPr>
  </w:style>
  <w:style w:type="character" w:customStyle="1" w:styleId="Underlined">
    <w:name w:val="Underlined"/>
    <w:basedOn w:val="DefaultParagraphFont"/>
    <w:rsid w:val="001F6F52"/>
    <w:rPr>
      <w:u w:val="single"/>
    </w:rPr>
  </w:style>
  <w:style w:type="paragraph" w:customStyle="1" w:styleId="TableBodyTextRight">
    <w:name w:val="Table Body Text Right"/>
    <w:basedOn w:val="TableBodyText"/>
    <w:rsid w:val="001F6F52"/>
    <w:pPr>
      <w:widowControl w:val="0"/>
      <w:autoSpaceDE w:val="0"/>
      <w:autoSpaceDN w:val="0"/>
      <w:adjustRightInd w:val="0"/>
      <w:jc w:val="right"/>
    </w:pPr>
    <w:rPr>
      <w:rFonts w:cs="Arial"/>
      <w:szCs w:val="18"/>
    </w:rPr>
  </w:style>
  <w:style w:type="paragraph" w:customStyle="1" w:styleId="CopyrightText">
    <w:name w:val="Copyright Text"/>
    <w:basedOn w:val="BodyText"/>
    <w:rsid w:val="001F6F52"/>
    <w:rPr>
      <w:sz w:val="18"/>
    </w:rPr>
  </w:style>
  <w:style w:type="paragraph" w:customStyle="1" w:styleId="BodySmallRight">
    <w:name w:val="Body Small Right"/>
    <w:basedOn w:val="BodyTextRight"/>
    <w:rsid w:val="001F6F52"/>
    <w:rPr>
      <w:sz w:val="18"/>
      <w:szCs w:val="18"/>
    </w:rPr>
  </w:style>
  <w:style w:type="paragraph" w:customStyle="1" w:styleId="MarginEdition">
    <w:name w:val="Margin Edition"/>
    <w:basedOn w:val="MarginNote"/>
    <w:rsid w:val="001F6F52"/>
    <w:pPr>
      <w:spacing w:before="0" w:after="0"/>
    </w:pPr>
    <w:rPr>
      <w:rFonts w:ascii="Times New Roman" w:hAnsi="Times New Roman"/>
      <w:color w:val="999999"/>
    </w:rPr>
  </w:style>
  <w:style w:type="paragraph" w:customStyle="1" w:styleId="Spacer">
    <w:name w:val="Spacer"/>
    <w:basedOn w:val="Normal"/>
    <w:rsid w:val="001F6F52"/>
    <w:rPr>
      <w:sz w:val="2"/>
      <w:szCs w:val="2"/>
    </w:rPr>
  </w:style>
  <w:style w:type="character" w:customStyle="1" w:styleId="Small">
    <w:name w:val="Small"/>
    <w:basedOn w:val="DefaultParagraphFont"/>
    <w:rsid w:val="001F6F52"/>
    <w:rPr>
      <w:sz w:val="16"/>
    </w:rPr>
  </w:style>
  <w:style w:type="paragraph" w:customStyle="1" w:styleId="WideTable">
    <w:name w:val="Wide Table"/>
    <w:basedOn w:val="Normal"/>
    <w:rsid w:val="001F6F52"/>
    <w:pPr>
      <w:ind w:left="-1418"/>
    </w:pPr>
    <w:rPr>
      <w:sz w:val="2"/>
      <w:szCs w:val="2"/>
    </w:rPr>
  </w:style>
  <w:style w:type="character" w:styleId="PageNumber">
    <w:name w:val="page number"/>
    <w:basedOn w:val="DefaultParagraphFont"/>
    <w:rsid w:val="001F6F52"/>
  </w:style>
  <w:style w:type="paragraph" w:styleId="Quote">
    <w:name w:val="Quote"/>
    <w:basedOn w:val="Heading1"/>
    <w:link w:val="QuoteChar"/>
    <w:qFormat/>
    <w:rsid w:val="001F6F52"/>
    <w:rPr>
      <w:b w:val="0"/>
      <w:sz w:val="72"/>
      <w:szCs w:val="72"/>
      <w:lang w:val="en-NZ"/>
    </w:rPr>
  </w:style>
  <w:style w:type="character" w:customStyle="1" w:styleId="QuoteChar">
    <w:name w:val="Quote Char"/>
    <w:basedOn w:val="DefaultParagraphFont"/>
    <w:link w:val="Quote"/>
    <w:rsid w:val="001F6F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6F52"/>
    <w:pPr>
      <w:pageBreakBefore/>
    </w:pPr>
  </w:style>
  <w:style w:type="paragraph" w:customStyle="1" w:styleId="Border">
    <w:name w:val="Border"/>
    <w:basedOn w:val="Normal"/>
    <w:qFormat/>
    <w:rsid w:val="001F6F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6F52"/>
    <w:rPr>
      <w:b/>
      <w:bCs/>
      <w:i/>
      <w:iCs/>
      <w:color w:val="auto"/>
    </w:rPr>
  </w:style>
  <w:style w:type="paragraph" w:styleId="IntenseQuote">
    <w:name w:val="Intense Quote"/>
    <w:basedOn w:val="Normal"/>
    <w:next w:val="Normal"/>
    <w:link w:val="IntenseQuoteChar"/>
    <w:uiPriority w:val="30"/>
    <w:qFormat/>
    <w:rsid w:val="001F6F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6F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6F52"/>
    <w:rPr>
      <w:smallCaps/>
      <w:color w:val="auto"/>
      <w:u w:val="single"/>
    </w:rPr>
  </w:style>
  <w:style w:type="character" w:styleId="IntenseReference">
    <w:name w:val="Intense Reference"/>
    <w:basedOn w:val="DefaultParagraphFont"/>
    <w:uiPriority w:val="32"/>
    <w:qFormat/>
    <w:rsid w:val="001F6F52"/>
    <w:rPr>
      <w:b/>
      <w:bCs/>
      <w:smallCaps/>
      <w:color w:val="auto"/>
      <w:spacing w:val="5"/>
      <w:u w:val="single"/>
    </w:rPr>
  </w:style>
  <w:style w:type="paragraph" w:customStyle="1" w:styleId="2ColumnHeading">
    <w:name w:val="2Column Heading"/>
    <w:basedOn w:val="BodyText"/>
    <w:qFormat/>
    <w:rsid w:val="001F6F52"/>
    <w:pPr>
      <w:spacing w:after="60"/>
      <w:ind w:left="-2268"/>
    </w:pPr>
    <w:rPr>
      <w:b/>
    </w:rPr>
  </w:style>
  <w:style w:type="paragraph" w:customStyle="1" w:styleId="Heading1TOC">
    <w:name w:val="Heading1 TOC"/>
    <w:basedOn w:val="Normal"/>
    <w:qFormat/>
    <w:rsid w:val="001F6F52"/>
    <w:pPr>
      <w:spacing w:before="240" w:after="120"/>
    </w:pPr>
    <w:rPr>
      <w:rFonts w:ascii="Times New Roman" w:hAnsi="Times New Roman"/>
      <w:b/>
      <w:sz w:val="32"/>
    </w:rPr>
  </w:style>
  <w:style w:type="paragraph" w:customStyle="1" w:styleId="Heading2TOC">
    <w:name w:val="Heading2 TOC"/>
    <w:basedOn w:val="Normal"/>
    <w:qFormat/>
    <w:rsid w:val="001F6F52"/>
    <w:pPr>
      <w:spacing w:before="240" w:after="60"/>
    </w:pPr>
    <w:rPr>
      <w:rFonts w:ascii="Times New Roman" w:hAnsi="Times New Roman"/>
      <w:b/>
      <w:sz w:val="28"/>
    </w:rPr>
  </w:style>
  <w:style w:type="character" w:customStyle="1" w:styleId="Underline">
    <w:name w:val="Underline"/>
    <w:basedOn w:val="DefaultParagraphFont"/>
    <w:qFormat/>
    <w:rsid w:val="001F6F52"/>
    <w:rPr>
      <w:u w:val="single"/>
    </w:rPr>
  </w:style>
  <w:style w:type="character" w:customStyle="1" w:styleId="BoldandItalics">
    <w:name w:val="Bold and Italics"/>
    <w:qFormat/>
    <w:rsid w:val="001F6F52"/>
    <w:rPr>
      <w:b/>
      <w:i/>
      <w:u w:val="none"/>
    </w:rPr>
  </w:style>
  <w:style w:type="paragraph" w:styleId="BalloonText">
    <w:name w:val="Balloon Text"/>
    <w:basedOn w:val="Normal"/>
    <w:link w:val="BalloonTextChar"/>
    <w:rsid w:val="001F6F52"/>
    <w:rPr>
      <w:rFonts w:ascii="Tahoma" w:hAnsi="Tahoma" w:cs="Tahoma"/>
      <w:sz w:val="16"/>
      <w:szCs w:val="16"/>
    </w:rPr>
  </w:style>
  <w:style w:type="character" w:customStyle="1" w:styleId="BalloonTextChar">
    <w:name w:val="Balloon Text Char"/>
    <w:basedOn w:val="DefaultParagraphFont"/>
    <w:link w:val="BalloonText"/>
    <w:rsid w:val="001F6F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6F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6F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6F52"/>
    <w:rPr>
      <w:b/>
      <w:color w:val="660033"/>
      <w:spacing w:val="0"/>
    </w:rPr>
  </w:style>
  <w:style w:type="paragraph" w:customStyle="1" w:styleId="Nameditemlist">
    <w:name w:val="Named item list"/>
    <w:basedOn w:val="BodyText"/>
    <w:qFormat/>
    <w:rsid w:val="001F6F52"/>
    <w:pPr>
      <w:tabs>
        <w:tab w:val="left" w:pos="2835"/>
      </w:tabs>
      <w:ind w:left="2835" w:hanging="2835"/>
    </w:pPr>
  </w:style>
  <w:style w:type="paragraph" w:customStyle="1" w:styleId="BodyTextnopadding">
    <w:name w:val="Body Text no padding"/>
    <w:basedOn w:val="BodyText"/>
    <w:qFormat/>
    <w:rsid w:val="001F6F52"/>
    <w:pPr>
      <w:spacing w:before="0" w:after="0"/>
    </w:pPr>
  </w:style>
  <w:style w:type="paragraph" w:customStyle="1" w:styleId="BodyTextBold">
    <w:name w:val="Body Text Bold"/>
    <w:basedOn w:val="BodyText"/>
    <w:qFormat/>
    <w:rsid w:val="001F6F52"/>
    <w:rPr>
      <w:b/>
    </w:rPr>
  </w:style>
  <w:style w:type="character" w:styleId="Hyperlink">
    <w:name w:val="Hyperlink"/>
    <w:basedOn w:val="DefaultParagraphFont"/>
    <w:uiPriority w:val="99"/>
    <w:unhideWhenUsed/>
    <w:rsid w:val="006F1A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793</Words>
  <Characters>4815</Characters>
  <Application>Microsoft Office Word</Application>
  <DocSecurity>0</DocSecurity>
  <Lines>229</Lines>
  <Paragraphs>140</Paragraphs>
  <ScaleCrop>false</ScaleCrop>
  <Company>Author-it Software Corporation Ltd.</Company>
  <LinksUpToDate>false</LinksUpToDate>
  <CharactersWithSpaces>5468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MSFGG2001 Use glass and glazing sector hand and power tools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2019-02-21T09:42:00Z</dcterms:created>
  <dcterms:modified xsi:type="dcterms:W3CDTF">2019-02-21T09:42:00Z</dcterms:modified>
</cp:coreProperties>
</file>