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61C69" w:rsidP="00161C69">
      <w:pPr>
        <w:pStyle w:val="Title"/>
      </w:pPr>
      <w:r>
        <w:fldChar w:fldCharType="begin"/>
      </w:r>
      <w:r>
        <w:instrText xml:space="preserve"> TITLE   \* MERGEFORMAT </w:instrText>
      </w:r>
      <w:r>
        <w:fldChar w:fldCharType="separate"/>
      </w:r>
      <w:r>
        <w:t>MSFFT4004 Establish and monitor production inventory requirements</w:t>
      </w:r>
      <w:r>
        <w:fldChar w:fldCharType="end"/>
      </w:r>
    </w:p>
    <w:p w:rsidR="00161C69" w:rsidP="00161C69">
      <w:pPr>
        <w:pStyle w:val="Version"/>
        <w:sectPr w:rsidSect="00F664C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664CB" w:rsidP="00F664CB">
      <w:pPr>
        <w:pStyle w:val="SuperHeading"/>
      </w:pPr>
      <w:r w:rsidRPr="00F664CB">
        <w:t>MSFFT4004 Est</w:t>
      </w:r>
      <w:r w:rsidRPr="00F664CB">
        <w:t>ablish and monitor production inventory requirements</w:t>
      </w:r>
    </w:p>
    <w:p w:rsidR="00000000" w:rsidRPr="00F664CB" w:rsidP="00F664CB">
      <w:pPr>
        <w:pStyle w:val="Heading1"/>
      </w:pPr>
      <w:bookmarkStart w:id="1" w:name="O_633531"/>
      <w:bookmarkEnd w:id="1"/>
      <w:r w:rsidRPr="00F664CB">
        <w:t>Modification History</w:t>
      </w:r>
    </w:p>
    <w:p w:rsidR="00000000" w:rsidRPr="00F664CB" w:rsidP="00161C69">
      <w:pPr>
        <w:pStyle w:val="BodyText"/>
      </w:pPr>
      <w:r w:rsidRPr="00F664CB">
        <w:t>Release 1 - New unit of competency</w:t>
      </w:r>
    </w:p>
    <w:p w:rsidR="00000000" w:rsidRPr="00F664CB" w:rsidP="00F664CB">
      <w:pPr>
        <w:pStyle w:val="Heading1"/>
      </w:pPr>
      <w:bookmarkStart w:id="2" w:name="O_633539"/>
      <w:bookmarkEnd w:id="2"/>
      <w:r w:rsidRPr="00F664CB">
        <w:t>Application</w:t>
      </w:r>
    </w:p>
    <w:p w:rsidR="00000000" w:rsidRPr="00F664CB" w:rsidP="00161C69">
      <w:pPr>
        <w:pStyle w:val="BodyText"/>
      </w:pPr>
      <w:r w:rsidRPr="00F664CB">
        <w:t>This unit of competency covers determining, specifying and documenting the production materials and consumables required for the production of mass-produced and customised fittings, equipment and assemblies. It does not cover the management of the inventor</w:t>
      </w:r>
      <w:r w:rsidRPr="00F664CB">
        <w:t>y.</w:t>
      </w:r>
    </w:p>
    <w:p w:rsidR="00000000" w:rsidRPr="00F664CB" w:rsidP="00161C69">
      <w:pPr>
        <w:pStyle w:val="BodyText"/>
      </w:pPr>
      <w:r w:rsidRPr="00F664CB">
        <w:t>No licensing, legislative or certification requirements apply to this unit at the time of publication.</w:t>
      </w:r>
    </w:p>
    <w:p w:rsidR="00000000" w:rsidRPr="00F664CB" w:rsidP="00F664CB">
      <w:pPr>
        <w:pStyle w:val="Heading1"/>
      </w:pPr>
      <w:bookmarkStart w:id="3" w:name="O_633538"/>
      <w:bookmarkEnd w:id="3"/>
      <w:r w:rsidRPr="00F664CB">
        <w:t>Pre-requisite Unit</w:t>
      </w:r>
    </w:p>
    <w:p w:rsidR="00000000" w:rsidRPr="00F664CB" w:rsidP="00F664CB">
      <w:pPr>
        <w:pStyle w:val="Heading1"/>
      </w:pPr>
      <w:bookmarkStart w:id="4" w:name="O_633537"/>
      <w:bookmarkEnd w:id="4"/>
      <w:r w:rsidRPr="00F664CB">
        <w:t>Competency Field</w:t>
      </w:r>
    </w:p>
    <w:p w:rsidR="00000000" w:rsidRPr="00F664CB" w:rsidP="00F664CB">
      <w:pPr>
        <w:pStyle w:val="Heading1"/>
      </w:pPr>
      <w:bookmarkStart w:id="5" w:name="O_633536"/>
      <w:bookmarkEnd w:id="5"/>
      <w:r w:rsidRPr="00F664CB">
        <w:t>Unit Sector</w:t>
      </w:r>
    </w:p>
    <w:p w:rsidR="00000000" w:rsidRPr="00F664CB" w:rsidP="00161C69">
      <w:pPr>
        <w:pStyle w:val="BodyText"/>
      </w:pPr>
      <w:r w:rsidRPr="00F664CB">
        <w:t>Furnishing Technology</w:t>
      </w:r>
    </w:p>
    <w:p w:rsidR="00000000" w:rsidRPr="00F664CB" w:rsidP="00F664CB">
      <w:pPr>
        <w:pStyle w:val="Heading1"/>
      </w:pPr>
      <w:bookmarkStart w:id="6" w:name="O_633535"/>
      <w:bookmarkEnd w:id="6"/>
      <w:r w:rsidRPr="00F664CB">
        <w:t xml:space="preserve">Elements and </w:t>
      </w:r>
      <w:r w:rsidRPr="00F664CB">
        <w:t>Performance Criteria</w:t>
      </w:r>
    </w:p>
    <w:tbl>
      <w:tblPr>
        <w:tblW w:w="9286" w:type="dxa"/>
        <w:tblLayout w:type="fixed"/>
        <w:tblCellMar>
          <w:left w:w="62" w:type="dxa"/>
          <w:right w:w="62" w:type="dxa"/>
        </w:tblCellMar>
        <w:tblLook w:val="0000"/>
      </w:tblPr>
      <w:tblGrid>
        <w:gridCol w:w="630"/>
        <w:gridCol w:w="2129"/>
        <w:gridCol w:w="683"/>
        <w:gridCol w:w="5844"/>
      </w:tblGrid>
      <w:tr w:rsidTr="00F664CB">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F664CB">
            <w:pPr>
              <w:pStyle w:val="BodyText"/>
              <w:rPr>
                <w:lang w:val="en-NZ"/>
              </w:rPr>
            </w:pPr>
            <w:r w:rsidRPr="00F664CB">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F664CB">
            <w:pPr>
              <w:pStyle w:val="BodyText"/>
              <w:rPr>
                <w:lang w:val="en-NZ"/>
              </w:rPr>
            </w:pPr>
            <w:r w:rsidRPr="00F664CB">
              <w:t>Performance criteria describe the performance needed to demonstrate achievement of the element.</w:t>
            </w:r>
          </w:p>
        </w:tc>
      </w:tr>
      <w:tr w:rsidTr="00F664CB">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F664CB">
            <w:pPr>
              <w:pStyle w:val="BodyText"/>
              <w:rPr>
                <w:lang w:val="en-NZ"/>
              </w:rPr>
            </w:pPr>
            <w:r w:rsidRPr="00F664CB">
              <w:t>1</w:t>
            </w:r>
          </w:p>
        </w:tc>
        <w:tc>
          <w:tcPr>
            <w:tcW w:w="2129" w:type="dxa"/>
            <w:tcBorders>
              <w:top w:val="nil"/>
              <w:left w:val="nil"/>
              <w:bottom w:val="nil"/>
              <w:right w:val="nil"/>
            </w:tcBorders>
            <w:tcMar>
              <w:top w:w="0" w:type="dxa"/>
              <w:left w:w="62" w:type="dxa"/>
              <w:bottom w:w="0" w:type="dxa"/>
              <w:right w:w="62" w:type="dxa"/>
            </w:tcMar>
          </w:tcPr>
          <w:p w:rsidR="00000000" w:rsidP="00F664CB">
            <w:pPr>
              <w:pStyle w:val="BodyText"/>
              <w:rPr>
                <w:lang w:val="en-NZ"/>
              </w:rPr>
            </w:pPr>
            <w:r w:rsidRPr="00F664CB">
              <w:t>Identify materials requirements</w:t>
            </w:r>
          </w:p>
        </w:tc>
        <w:tc>
          <w:tcPr>
            <w:tcW w:w="683" w:type="dxa"/>
            <w:tcBorders>
              <w:top w:val="nil"/>
              <w:left w:val="nil"/>
              <w:bottom w:val="nil"/>
              <w:right w:val="nil"/>
            </w:tcBorders>
            <w:tcMar>
              <w:top w:w="0" w:type="dxa"/>
              <w:left w:w="62" w:type="dxa"/>
              <w:bottom w:w="0" w:type="dxa"/>
              <w:right w:w="62" w:type="dxa"/>
            </w:tcMar>
          </w:tcPr>
          <w:p w:rsidR="00000000" w:rsidP="00F664CB">
            <w:pPr>
              <w:pStyle w:val="BodyText"/>
              <w:rPr>
                <w:lang w:val="en-NZ"/>
              </w:rPr>
            </w:pPr>
            <w:r w:rsidRPr="00F664CB">
              <w:t>1.1</w:t>
            </w:r>
          </w:p>
        </w:tc>
        <w:tc>
          <w:tcPr>
            <w:tcW w:w="5844" w:type="dxa"/>
            <w:tcBorders>
              <w:top w:val="nil"/>
              <w:left w:val="nil"/>
              <w:bottom w:val="nil"/>
              <w:right w:val="nil"/>
            </w:tcBorders>
            <w:tcMar>
              <w:top w:w="0" w:type="dxa"/>
              <w:left w:w="62" w:type="dxa"/>
              <w:bottom w:w="0" w:type="dxa"/>
              <w:right w:w="62" w:type="dxa"/>
            </w:tcMar>
          </w:tcPr>
          <w:p w:rsidR="00000000" w:rsidP="00F664CB">
            <w:pPr>
              <w:pStyle w:val="BodyText"/>
              <w:rPr>
                <w:lang w:val="en-NZ"/>
              </w:rPr>
            </w:pPr>
            <w:r w:rsidRPr="00F664CB">
              <w:t>Drawings and specifications for materials are read and interpreted</w:t>
            </w:r>
          </w:p>
        </w:tc>
      </w:tr>
      <w:tr w:rsidTr="00F664CB">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F664CB">
            <w:pPr>
              <w:pStyle w:val="BodyText"/>
              <w:rPr>
                <w:lang w:val="en-NZ"/>
              </w:rPr>
            </w:pPr>
            <w:r w:rsidRPr="00F664CB">
              <w:t>1.2</w:t>
            </w:r>
          </w:p>
        </w:tc>
        <w:tc>
          <w:tcPr>
            <w:tcW w:w="5844" w:type="dxa"/>
            <w:tcBorders>
              <w:top w:val="nil"/>
              <w:left w:val="nil"/>
              <w:bottom w:val="nil"/>
              <w:right w:val="nil"/>
            </w:tcBorders>
            <w:tcMar>
              <w:top w:w="0" w:type="dxa"/>
              <w:left w:w="62" w:type="dxa"/>
              <w:bottom w:w="0" w:type="dxa"/>
              <w:right w:w="62" w:type="dxa"/>
            </w:tcMar>
          </w:tcPr>
          <w:p w:rsidR="00000000" w:rsidP="00F664CB">
            <w:pPr>
              <w:pStyle w:val="BodyText"/>
              <w:rPr>
                <w:lang w:val="en-NZ"/>
              </w:rPr>
            </w:pPr>
            <w:r w:rsidRPr="00F664CB">
              <w:t>Sources of product supply are identified</w:t>
            </w:r>
          </w:p>
        </w:tc>
      </w:tr>
      <w:tr w:rsidTr="00F664CB">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F664CB">
            <w:pPr>
              <w:pStyle w:val="BodyText"/>
              <w:rPr>
                <w:lang w:val="en-NZ"/>
              </w:rPr>
            </w:pPr>
            <w:r w:rsidRPr="00F664CB">
              <w:t>1.3</w:t>
            </w:r>
          </w:p>
        </w:tc>
        <w:tc>
          <w:tcPr>
            <w:tcW w:w="5844" w:type="dxa"/>
            <w:tcBorders>
              <w:top w:val="nil"/>
              <w:left w:val="nil"/>
              <w:bottom w:val="nil"/>
              <w:right w:val="nil"/>
            </w:tcBorders>
            <w:tcMar>
              <w:top w:w="0" w:type="dxa"/>
              <w:left w:w="62" w:type="dxa"/>
              <w:bottom w:w="0" w:type="dxa"/>
              <w:right w:w="62" w:type="dxa"/>
            </w:tcMar>
          </w:tcPr>
          <w:p w:rsidR="00000000" w:rsidP="00F664CB">
            <w:pPr>
              <w:pStyle w:val="BodyText"/>
              <w:rPr>
                <w:lang w:val="en-NZ"/>
              </w:rPr>
            </w:pPr>
            <w:r w:rsidRPr="00F664CB">
              <w:t>Normal quantity supply and matching storage facilities and equipment are identified</w:t>
            </w:r>
          </w:p>
        </w:tc>
      </w:tr>
      <w:tr w:rsidTr="00F664CB">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F664CB">
            <w:pPr>
              <w:pStyle w:val="BodyText"/>
              <w:rPr>
                <w:lang w:val="en-NZ"/>
              </w:rPr>
            </w:pPr>
            <w:r w:rsidRPr="00F664CB">
              <w:t>1.4</w:t>
            </w:r>
          </w:p>
        </w:tc>
        <w:tc>
          <w:tcPr>
            <w:tcW w:w="5844" w:type="dxa"/>
            <w:tcBorders>
              <w:top w:val="nil"/>
              <w:left w:val="nil"/>
              <w:bottom w:val="nil"/>
              <w:right w:val="nil"/>
            </w:tcBorders>
            <w:tcMar>
              <w:top w:w="0" w:type="dxa"/>
              <w:left w:w="62" w:type="dxa"/>
              <w:bottom w:w="0" w:type="dxa"/>
              <w:right w:w="62" w:type="dxa"/>
            </w:tcMar>
          </w:tcPr>
          <w:p w:rsidR="00000000" w:rsidP="00F664CB">
            <w:pPr>
              <w:pStyle w:val="BodyText"/>
              <w:rPr>
                <w:lang w:val="en-NZ"/>
              </w:rPr>
            </w:pPr>
            <w:r w:rsidRPr="00F664CB">
              <w:t>Material safety data sheets (MSDS) or other supplier safety information are read and any relevant engineering controls or personal protection equipment are identified, and any additional resources required for safe workplace handling and storage of the mat</w:t>
            </w:r>
            <w:r w:rsidRPr="00F664CB">
              <w:t>erials are documented and reported</w:t>
            </w:r>
          </w:p>
        </w:tc>
      </w:tr>
      <w:tr w:rsidTr="00F664CB">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F664CB">
            <w:pPr>
              <w:pStyle w:val="BodyText"/>
              <w:rPr>
                <w:lang w:val="en-NZ"/>
              </w:rPr>
            </w:pPr>
            <w:r w:rsidRPr="00F664CB">
              <w:t>1.5</w:t>
            </w:r>
          </w:p>
        </w:tc>
        <w:tc>
          <w:tcPr>
            <w:tcW w:w="5844" w:type="dxa"/>
            <w:tcBorders>
              <w:top w:val="nil"/>
              <w:left w:val="nil"/>
              <w:bottom w:val="nil"/>
              <w:right w:val="nil"/>
            </w:tcBorders>
            <w:tcMar>
              <w:top w:w="0" w:type="dxa"/>
              <w:left w:w="62" w:type="dxa"/>
              <w:bottom w:w="0" w:type="dxa"/>
              <w:right w:w="62" w:type="dxa"/>
            </w:tcMar>
          </w:tcPr>
          <w:p w:rsidR="00000000" w:rsidP="00F664CB">
            <w:pPr>
              <w:pStyle w:val="BodyText"/>
              <w:rPr>
                <w:lang w:val="en-NZ"/>
              </w:rPr>
            </w:pPr>
            <w:r w:rsidRPr="00F664CB">
              <w:t>Procedures to deal with fire or explosion risk, spills or injury are identified and recorded</w:t>
            </w:r>
          </w:p>
        </w:tc>
      </w:tr>
      <w:tr w:rsidTr="00F664CB">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F664CB">
            <w:pPr>
              <w:pStyle w:val="BodyText"/>
              <w:rPr>
                <w:lang w:val="en-NZ"/>
              </w:rPr>
            </w:pPr>
            <w:r w:rsidRPr="00F664CB">
              <w:t>2</w:t>
            </w:r>
          </w:p>
        </w:tc>
        <w:tc>
          <w:tcPr>
            <w:tcW w:w="2129" w:type="dxa"/>
            <w:tcBorders>
              <w:top w:val="nil"/>
              <w:left w:val="nil"/>
              <w:bottom w:val="nil"/>
              <w:right w:val="nil"/>
            </w:tcBorders>
            <w:tcMar>
              <w:top w:w="0" w:type="dxa"/>
              <w:left w:w="62" w:type="dxa"/>
              <w:bottom w:w="0" w:type="dxa"/>
              <w:right w:w="62" w:type="dxa"/>
            </w:tcMar>
          </w:tcPr>
          <w:p w:rsidR="00000000" w:rsidP="00F664CB">
            <w:pPr>
              <w:pStyle w:val="BodyText"/>
              <w:rPr>
                <w:lang w:val="en-NZ"/>
              </w:rPr>
            </w:pPr>
            <w:r w:rsidRPr="00F664CB">
              <w:t>Monitor consumables and production materials</w:t>
            </w:r>
          </w:p>
        </w:tc>
        <w:tc>
          <w:tcPr>
            <w:tcW w:w="683" w:type="dxa"/>
            <w:tcBorders>
              <w:top w:val="nil"/>
              <w:left w:val="nil"/>
              <w:bottom w:val="nil"/>
              <w:right w:val="nil"/>
            </w:tcBorders>
            <w:tcMar>
              <w:top w:w="0" w:type="dxa"/>
              <w:left w:w="62" w:type="dxa"/>
              <w:bottom w:w="0" w:type="dxa"/>
              <w:right w:w="62" w:type="dxa"/>
            </w:tcMar>
          </w:tcPr>
          <w:p w:rsidR="00000000" w:rsidP="00F664CB">
            <w:pPr>
              <w:pStyle w:val="BodyText"/>
              <w:rPr>
                <w:lang w:val="en-NZ"/>
              </w:rPr>
            </w:pPr>
            <w:r w:rsidRPr="00F664CB">
              <w:t>2.1</w:t>
            </w:r>
          </w:p>
        </w:tc>
        <w:tc>
          <w:tcPr>
            <w:tcW w:w="5844" w:type="dxa"/>
            <w:tcBorders>
              <w:top w:val="nil"/>
              <w:left w:val="nil"/>
              <w:bottom w:val="nil"/>
              <w:right w:val="nil"/>
            </w:tcBorders>
            <w:tcMar>
              <w:top w:w="0" w:type="dxa"/>
              <w:left w:w="62" w:type="dxa"/>
              <w:bottom w:w="0" w:type="dxa"/>
              <w:right w:w="62" w:type="dxa"/>
            </w:tcMar>
          </w:tcPr>
          <w:p w:rsidR="00000000" w:rsidP="00F664CB">
            <w:pPr>
              <w:pStyle w:val="BodyText"/>
              <w:rPr>
                <w:lang w:val="en-NZ"/>
              </w:rPr>
            </w:pPr>
            <w:r w:rsidRPr="00F664CB">
              <w:t>Consumables and production materials are checked for conformity to de</w:t>
            </w:r>
            <w:r w:rsidRPr="00F664CB">
              <w:t>sign specification and capacity to meet the requirements of the end product</w:t>
            </w:r>
          </w:p>
        </w:tc>
      </w:tr>
      <w:tr w:rsidTr="00F664CB">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F664CB">
            <w:pPr>
              <w:pStyle w:val="BodyText"/>
              <w:rPr>
                <w:lang w:val="en-NZ"/>
              </w:rPr>
            </w:pPr>
            <w:r w:rsidRPr="00F664CB">
              <w:t>2.2</w:t>
            </w:r>
          </w:p>
        </w:tc>
        <w:tc>
          <w:tcPr>
            <w:tcW w:w="5844" w:type="dxa"/>
            <w:tcBorders>
              <w:top w:val="nil"/>
              <w:left w:val="nil"/>
              <w:bottom w:val="nil"/>
              <w:right w:val="nil"/>
            </w:tcBorders>
            <w:tcMar>
              <w:top w:w="0" w:type="dxa"/>
              <w:left w:w="62" w:type="dxa"/>
              <w:bottom w:w="0" w:type="dxa"/>
              <w:right w:w="62" w:type="dxa"/>
            </w:tcMar>
          </w:tcPr>
          <w:p w:rsidR="00000000" w:rsidP="00F664CB">
            <w:pPr>
              <w:pStyle w:val="BodyText"/>
              <w:rPr>
                <w:lang w:val="en-NZ"/>
              </w:rPr>
            </w:pPr>
            <w:r w:rsidRPr="00F664CB">
              <w:t>Any non-conformity in materials is noted and possible causes investigated and documented, including any variations, which may need to be made to the production process or ma</w:t>
            </w:r>
            <w:r w:rsidRPr="00F664CB">
              <w:t>terials used</w:t>
            </w:r>
          </w:p>
        </w:tc>
      </w:tr>
      <w:tr w:rsidTr="00F664CB">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F664CB">
            <w:pPr>
              <w:pStyle w:val="BodyText"/>
              <w:rPr>
                <w:lang w:val="en-NZ"/>
              </w:rPr>
            </w:pPr>
            <w:r w:rsidRPr="00F664CB">
              <w:t>2.3</w:t>
            </w:r>
          </w:p>
        </w:tc>
        <w:tc>
          <w:tcPr>
            <w:tcW w:w="5844" w:type="dxa"/>
            <w:tcBorders>
              <w:top w:val="nil"/>
              <w:left w:val="nil"/>
              <w:bottom w:val="nil"/>
              <w:right w:val="nil"/>
            </w:tcBorders>
            <w:tcMar>
              <w:top w:w="0" w:type="dxa"/>
              <w:left w:w="62" w:type="dxa"/>
              <w:bottom w:w="0" w:type="dxa"/>
              <w:right w:w="62" w:type="dxa"/>
            </w:tcMar>
          </w:tcPr>
          <w:p w:rsidR="00000000" w:rsidP="00F664CB">
            <w:pPr>
              <w:pStyle w:val="BodyText"/>
              <w:rPr>
                <w:lang w:val="en-NZ"/>
              </w:rPr>
            </w:pPr>
            <w:r w:rsidRPr="00F664CB">
              <w:t>Materials and consumables are compared with competitive products, market information and recommendations are made on preferred options</w:t>
            </w:r>
          </w:p>
        </w:tc>
      </w:tr>
      <w:tr w:rsidTr="00F664CB">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F664CB">
            <w:pPr>
              <w:pStyle w:val="BodyText"/>
              <w:rPr>
                <w:lang w:val="en-NZ"/>
              </w:rPr>
            </w:pPr>
            <w:r w:rsidRPr="00F664CB">
              <w:t>2.4</w:t>
            </w:r>
          </w:p>
        </w:tc>
        <w:tc>
          <w:tcPr>
            <w:tcW w:w="5844" w:type="dxa"/>
            <w:tcBorders>
              <w:top w:val="nil"/>
              <w:left w:val="nil"/>
              <w:bottom w:val="nil"/>
              <w:right w:val="nil"/>
            </w:tcBorders>
            <w:tcMar>
              <w:top w:w="0" w:type="dxa"/>
              <w:left w:w="62" w:type="dxa"/>
              <w:bottom w:w="0" w:type="dxa"/>
              <w:right w:w="62" w:type="dxa"/>
            </w:tcMar>
          </w:tcPr>
          <w:p w:rsidR="00000000" w:rsidP="00F664CB">
            <w:pPr>
              <w:pStyle w:val="BodyText"/>
              <w:rPr>
                <w:lang w:val="en-NZ"/>
              </w:rPr>
            </w:pPr>
            <w:r w:rsidRPr="00F664CB">
              <w:t>Preparation procedures for consumables and production materials are identified and checked for required additives, consumables and other materials or equipment requirement</w:t>
            </w:r>
          </w:p>
        </w:tc>
      </w:tr>
      <w:tr w:rsidTr="00F664CB">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F664CB">
            <w:pPr>
              <w:pStyle w:val="BodyText"/>
              <w:rPr>
                <w:lang w:val="en-NZ"/>
              </w:rPr>
            </w:pPr>
            <w:r w:rsidRPr="00F664CB">
              <w:t>2.5</w:t>
            </w:r>
          </w:p>
        </w:tc>
        <w:tc>
          <w:tcPr>
            <w:tcW w:w="5844" w:type="dxa"/>
            <w:tcBorders>
              <w:top w:val="nil"/>
              <w:left w:val="nil"/>
              <w:bottom w:val="nil"/>
              <w:right w:val="nil"/>
            </w:tcBorders>
            <w:tcMar>
              <w:top w:w="0" w:type="dxa"/>
              <w:left w:w="62" w:type="dxa"/>
              <w:bottom w:w="0" w:type="dxa"/>
              <w:right w:w="62" w:type="dxa"/>
            </w:tcMar>
          </w:tcPr>
          <w:p w:rsidR="00000000" w:rsidP="00F664CB">
            <w:pPr>
              <w:pStyle w:val="BodyText"/>
              <w:rPr>
                <w:lang w:val="en-NZ"/>
              </w:rPr>
            </w:pPr>
            <w:r w:rsidRPr="00F664CB">
              <w:t>Materials ordering, storage, safe movement and waste disposal needs are ident</w:t>
            </w:r>
            <w:r w:rsidRPr="00F664CB">
              <w:t>ified</w:t>
            </w:r>
          </w:p>
        </w:tc>
      </w:tr>
      <w:tr w:rsidTr="00F664CB">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F664CB">
            <w:pPr>
              <w:pStyle w:val="BodyText"/>
              <w:rPr>
                <w:lang w:val="en-NZ"/>
              </w:rPr>
            </w:pPr>
            <w:r w:rsidRPr="00F664CB">
              <w:t>3</w:t>
            </w:r>
          </w:p>
        </w:tc>
        <w:tc>
          <w:tcPr>
            <w:tcW w:w="2129" w:type="dxa"/>
            <w:tcBorders>
              <w:top w:val="nil"/>
              <w:left w:val="nil"/>
              <w:bottom w:val="nil"/>
              <w:right w:val="nil"/>
            </w:tcBorders>
            <w:tcMar>
              <w:top w:w="0" w:type="dxa"/>
              <w:left w:w="62" w:type="dxa"/>
              <w:bottom w:w="0" w:type="dxa"/>
              <w:right w:w="62" w:type="dxa"/>
            </w:tcMar>
          </w:tcPr>
          <w:p w:rsidR="00000000" w:rsidP="00F664CB">
            <w:pPr>
              <w:pStyle w:val="BodyText"/>
              <w:rPr>
                <w:lang w:val="en-NZ"/>
              </w:rPr>
            </w:pPr>
            <w:r w:rsidRPr="00F664CB">
              <w:t>Document materials estimates</w:t>
            </w:r>
          </w:p>
        </w:tc>
        <w:tc>
          <w:tcPr>
            <w:tcW w:w="683" w:type="dxa"/>
            <w:tcBorders>
              <w:top w:val="nil"/>
              <w:left w:val="nil"/>
              <w:bottom w:val="nil"/>
              <w:right w:val="nil"/>
            </w:tcBorders>
            <w:tcMar>
              <w:top w:w="0" w:type="dxa"/>
              <w:left w:w="62" w:type="dxa"/>
              <w:bottom w:w="0" w:type="dxa"/>
              <w:right w:w="62" w:type="dxa"/>
            </w:tcMar>
          </w:tcPr>
          <w:p w:rsidR="00000000" w:rsidP="00F664CB">
            <w:pPr>
              <w:pStyle w:val="BodyText"/>
              <w:rPr>
                <w:lang w:val="en-NZ"/>
              </w:rPr>
            </w:pPr>
            <w:r w:rsidRPr="00F664CB">
              <w:t>3.1</w:t>
            </w:r>
          </w:p>
        </w:tc>
        <w:tc>
          <w:tcPr>
            <w:tcW w:w="5844" w:type="dxa"/>
            <w:tcBorders>
              <w:top w:val="nil"/>
              <w:left w:val="nil"/>
              <w:bottom w:val="nil"/>
              <w:right w:val="nil"/>
            </w:tcBorders>
            <w:tcMar>
              <w:top w:w="0" w:type="dxa"/>
              <w:left w:w="62" w:type="dxa"/>
              <w:bottom w:w="0" w:type="dxa"/>
              <w:right w:w="62" w:type="dxa"/>
            </w:tcMar>
          </w:tcPr>
          <w:p w:rsidR="00000000" w:rsidP="00F664CB">
            <w:pPr>
              <w:pStyle w:val="BodyText"/>
              <w:rPr>
                <w:lang w:val="en-NZ"/>
              </w:rPr>
            </w:pPr>
            <w:r w:rsidRPr="00F664CB">
              <w:t>All procedures for the estimates process are checked for conformity with workplace procedures</w:t>
            </w:r>
          </w:p>
        </w:tc>
      </w:tr>
      <w:tr w:rsidTr="00F664CB">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F664CB">
            <w:pPr>
              <w:pStyle w:val="BodyText"/>
              <w:rPr>
                <w:lang w:val="en-NZ"/>
              </w:rPr>
            </w:pPr>
            <w:r w:rsidRPr="00F664CB">
              <w:t>3.2</w:t>
            </w:r>
          </w:p>
        </w:tc>
        <w:tc>
          <w:tcPr>
            <w:tcW w:w="5844" w:type="dxa"/>
            <w:tcBorders>
              <w:top w:val="nil"/>
              <w:left w:val="nil"/>
              <w:bottom w:val="nil"/>
              <w:right w:val="nil"/>
            </w:tcBorders>
            <w:tcMar>
              <w:top w:w="0" w:type="dxa"/>
              <w:left w:w="62" w:type="dxa"/>
              <w:bottom w:w="0" w:type="dxa"/>
              <w:right w:w="62" w:type="dxa"/>
            </w:tcMar>
          </w:tcPr>
          <w:p w:rsidR="00000000" w:rsidP="00F664CB">
            <w:pPr>
              <w:pStyle w:val="BodyText"/>
              <w:rPr>
                <w:lang w:val="en-NZ"/>
              </w:rPr>
            </w:pPr>
            <w:r w:rsidRPr="00F664CB">
              <w:t>Cost reports, including time and maintenance, are prepared</w:t>
            </w:r>
          </w:p>
        </w:tc>
      </w:tr>
      <w:tr w:rsidTr="00F664CB">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F664CB">
            <w:pPr>
              <w:pStyle w:val="BodyText"/>
              <w:rPr>
                <w:lang w:val="en-NZ"/>
              </w:rPr>
            </w:pPr>
            <w:r w:rsidRPr="00F664CB">
              <w:t>3.3</w:t>
            </w:r>
          </w:p>
        </w:tc>
        <w:tc>
          <w:tcPr>
            <w:tcW w:w="5844" w:type="dxa"/>
            <w:tcBorders>
              <w:top w:val="nil"/>
              <w:left w:val="nil"/>
              <w:bottom w:val="nil"/>
              <w:right w:val="nil"/>
            </w:tcBorders>
            <w:tcMar>
              <w:top w:w="0" w:type="dxa"/>
              <w:left w:w="62" w:type="dxa"/>
              <w:bottom w:w="0" w:type="dxa"/>
              <w:right w:w="62" w:type="dxa"/>
            </w:tcMar>
          </w:tcPr>
          <w:p w:rsidR="00000000" w:rsidP="00F664CB">
            <w:pPr>
              <w:pStyle w:val="BodyText"/>
              <w:rPr>
                <w:lang w:val="en-NZ"/>
              </w:rPr>
            </w:pPr>
            <w:r w:rsidRPr="00F664CB">
              <w:t>Estimates are authorised by appropriate personnel for implementation</w:t>
            </w:r>
          </w:p>
        </w:tc>
      </w:tr>
      <w:tr w:rsidTr="00F664CB">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F664CB">
            <w:pPr>
              <w:pStyle w:val="BodyText"/>
              <w:rPr>
                <w:lang w:val="en-NZ"/>
              </w:rPr>
            </w:pPr>
            <w:r w:rsidRPr="00F664CB">
              <w:t>3.4</w:t>
            </w:r>
          </w:p>
        </w:tc>
        <w:tc>
          <w:tcPr>
            <w:tcW w:w="5844" w:type="dxa"/>
            <w:tcBorders>
              <w:top w:val="nil"/>
              <w:left w:val="nil"/>
              <w:bottom w:val="nil"/>
              <w:right w:val="nil"/>
            </w:tcBorders>
            <w:tcMar>
              <w:top w:w="0" w:type="dxa"/>
              <w:left w:w="62" w:type="dxa"/>
              <w:bottom w:w="0" w:type="dxa"/>
              <w:right w:w="62" w:type="dxa"/>
            </w:tcMar>
          </w:tcPr>
          <w:p w:rsidR="00000000" w:rsidRPr="00F664CB" w:rsidP="00F664CB">
            <w:pPr>
              <w:pStyle w:val="BodyText"/>
            </w:pPr>
            <w:r w:rsidRPr="00F664CB">
              <w:t>Recommendations for variations to materials specifications are made to appropriate personnel</w:t>
            </w:r>
          </w:p>
        </w:tc>
      </w:tr>
    </w:tbl>
    <w:p w:rsidR="00000000" w:rsidRPr="00F664CB" w:rsidP="00F664CB">
      <w:pPr>
        <w:pStyle w:val="BodyText"/>
      </w:pPr>
    </w:p>
    <w:p w:rsidR="00000000" w:rsidRPr="00F664CB" w:rsidP="00F664CB">
      <w:pPr>
        <w:pStyle w:val="AllowPageBreak"/>
      </w:pPr>
    </w:p>
    <w:p w:rsidR="00000000" w:rsidRPr="00F664CB" w:rsidP="00F664CB">
      <w:pPr>
        <w:pStyle w:val="Heading1"/>
      </w:pPr>
      <w:bookmarkStart w:id="7" w:name="O_633534"/>
      <w:bookmarkEnd w:id="7"/>
      <w:r w:rsidRPr="00F664CB">
        <w:t>Foundation Skills</w:t>
      </w:r>
    </w:p>
    <w:p w:rsidR="00000000" w:rsidRPr="00F664CB" w:rsidP="00161C69">
      <w:pPr>
        <w:pStyle w:val="BodyText"/>
      </w:pPr>
      <w:r w:rsidRPr="00F664CB">
        <w:t>Foundation skills essential to performance are exp</w:t>
      </w:r>
      <w:r w:rsidRPr="00F664CB">
        <w:t>licit in the performance criteria of this unit of competency. Detail on appropriate performance levels for each furnishing unit of competency in reading, writing, oral communication and numeracy utilising the Australian Core Skills Framework (ACSF) are pro</w:t>
      </w:r>
      <w:r w:rsidRPr="00F664CB">
        <w:t>vided in the Furnishing Training Package Implementation Guide.</w:t>
      </w:r>
    </w:p>
    <w:p w:rsidR="00000000" w:rsidRPr="00F664CB" w:rsidP="00F664CB">
      <w:pPr>
        <w:pStyle w:val="Heading1"/>
      </w:pPr>
      <w:bookmarkStart w:id="8" w:name="O_633533"/>
      <w:bookmarkEnd w:id="8"/>
      <w:r w:rsidRPr="00F664CB">
        <w:t>Range of Conditions</w:t>
      </w:r>
    </w:p>
    <w:tbl>
      <w:tblPr>
        <w:tblW w:w="0" w:type="auto"/>
        <w:tblLayout w:type="fixed"/>
        <w:tblCellMar>
          <w:left w:w="62" w:type="dxa"/>
          <w:right w:w="62" w:type="dxa"/>
        </w:tblCellMar>
        <w:tblLook w:val="0000"/>
      </w:tblPr>
      <w:tblGrid>
        <w:gridCol w:w="2760"/>
        <w:gridCol w:w="6312"/>
      </w:tblGrid>
      <w:tr w:rsidTr="00F664C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664CB">
            <w:pPr>
              <w:pStyle w:val="BodyText"/>
              <w:rPr>
                <w:lang w:val="en-NZ"/>
              </w:rPr>
            </w:pPr>
            <w:r w:rsidRPr="00F664CB">
              <w:t xml:space="preserve">Specifies different work environments and conditions that may affect performance. Essential operating conditions that may be present (depending on the work </w:t>
            </w:r>
            <w:r w:rsidRPr="00F664CB">
              <w:t xml:space="preserve">situation, needs of the </w:t>
            </w:r>
            <w:r w:rsidRPr="00F664CB">
              <w:t>candidate, accessibility of the item, and local industry and regional contexts) are included. Range is restricted to essential operating conditions and any other variables essential to the work environment.</w:t>
            </w:r>
          </w:p>
        </w:tc>
      </w:tr>
      <w:tr w:rsidTr="00F664C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664CB">
            <w:pPr>
              <w:pStyle w:val="BodyText"/>
              <w:rPr>
                <w:lang w:val="en-NZ"/>
              </w:rPr>
            </w:pPr>
            <w:r w:rsidRPr="00F664CB">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F664CB" w:rsidP="00F664CB">
            <w:pPr>
              <w:pStyle w:val="ListBullet"/>
            </w:pPr>
            <w:r w:rsidRPr="00F664CB">
              <w:t>work health and safety (WHS) requirements, including legislation, building codes, material safety management systems, hazardous and dangerous goods codes and local safe operating procedures or equivalent</w:t>
            </w:r>
          </w:p>
          <w:p w:rsidR="00000000" w:rsidRPr="00F664CB" w:rsidP="00F664CB">
            <w:pPr>
              <w:pStyle w:val="ListBullet"/>
            </w:pPr>
            <w:r w:rsidRPr="00F664CB">
              <w:t xml:space="preserve">work is carried out in accordance with legislative </w:t>
            </w:r>
            <w:r w:rsidRPr="00F664CB">
              <w:t xml:space="preserve">obligations, environmental legislation, relevant health regulations, manual handling procedures and organisation insurance requirements </w:t>
            </w:r>
          </w:p>
          <w:p w:rsidR="00000000" w:rsidRPr="00F664CB" w:rsidP="00F664CB">
            <w:pPr>
              <w:pStyle w:val="ListBullet"/>
            </w:pPr>
            <w:r w:rsidRPr="00F664CB">
              <w:t xml:space="preserve">work requires individuals to demonstrate conceptual ability, discretion, judgement and problem solving </w:t>
            </w:r>
          </w:p>
          <w:p w:rsidR="00000000" w:rsidRPr="00F664CB" w:rsidP="00F664CB">
            <w:pPr>
              <w:pStyle w:val="ListBullet"/>
            </w:pPr>
            <w:r w:rsidRPr="00F664CB">
              <w:t>decisions are m</w:t>
            </w:r>
            <w:r w:rsidRPr="00F664CB">
              <w:t xml:space="preserve">ade within the context of application of process, materials knowledge and estimates and extensive knowledge of the required production output and product quality standards </w:t>
            </w:r>
          </w:p>
          <w:p w:rsidR="00000000" w:rsidRPr="00F664CB" w:rsidP="00F664CB">
            <w:pPr>
              <w:pStyle w:val="ListBullet"/>
            </w:pPr>
            <w:r w:rsidRPr="00F664CB">
              <w:t>function is undertaken in accordance with established enterprise procedures, and pr</w:t>
            </w:r>
            <w:r w:rsidRPr="00F664CB">
              <w:t>actices may include requirements recommended by manufacturers</w:t>
            </w:r>
          </w:p>
          <w:p w:rsidR="00000000" w:rsidRPr="00F664CB" w:rsidP="00F664CB">
            <w:pPr>
              <w:pStyle w:val="ListBullet"/>
            </w:pPr>
            <w:r w:rsidRPr="00F664CB">
              <w:t xml:space="preserve">work is performed with minimal supervision or direction and may involve individual and team related </w:t>
            </w:r>
          </w:p>
          <w:p w:rsidR="00000000" w:rsidP="00F664CB">
            <w:pPr>
              <w:pStyle w:val="ListBullet"/>
              <w:rPr>
                <w:lang w:val="en-NZ"/>
              </w:rPr>
            </w:pPr>
            <w:r w:rsidRPr="00F664CB">
              <w:t>customers or suppliers may be internal or external</w:t>
            </w:r>
          </w:p>
        </w:tc>
      </w:tr>
      <w:tr w:rsidTr="00F664C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F664CB" w:rsidP="00F664CB">
            <w:pPr>
              <w:pStyle w:val="BodyText"/>
            </w:pPr>
            <w:r w:rsidRPr="00F664CB">
              <w:rPr>
                <w:rStyle w:val="SpecialBold"/>
              </w:rPr>
              <w:t>Machines and equipment include:</w:t>
            </w:r>
          </w:p>
          <w:p w:rsidR="00000000" w:rsidP="00F664CB">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F664CB" w:rsidP="00F664CB">
            <w:pPr>
              <w:pStyle w:val="ListBullet"/>
            </w:pPr>
            <w:r w:rsidRPr="00F664CB">
              <w:t>microprocessor or computer-controlled machines</w:t>
            </w:r>
          </w:p>
          <w:p w:rsidR="00000000" w:rsidP="00F664CB">
            <w:pPr>
              <w:pStyle w:val="ListBullet"/>
              <w:rPr>
                <w:lang w:val="en-NZ"/>
              </w:rPr>
            </w:pPr>
            <w:r w:rsidRPr="00F664CB">
              <w:t>both production and facility equipment used in the enterprise</w:t>
            </w:r>
          </w:p>
        </w:tc>
      </w:tr>
      <w:tr w:rsidTr="00F664C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F664CB" w:rsidP="00F664CB">
            <w:pPr>
              <w:pStyle w:val="BodyText"/>
            </w:pPr>
            <w:r w:rsidRPr="00F664CB">
              <w:rPr>
                <w:rStyle w:val="SpecialBold"/>
              </w:rPr>
              <w:t>Materials include:</w:t>
            </w:r>
          </w:p>
          <w:p w:rsidR="00000000" w:rsidP="00F664CB">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F664CB" w:rsidP="00F664CB">
            <w:pPr>
              <w:pStyle w:val="ListBullet"/>
            </w:pPr>
            <w:r w:rsidRPr="00F664CB">
              <w:t>timber</w:t>
            </w:r>
          </w:p>
          <w:p w:rsidR="00000000" w:rsidRPr="00F664CB" w:rsidP="00F664CB">
            <w:pPr>
              <w:pStyle w:val="ListBullet"/>
            </w:pPr>
            <w:r w:rsidRPr="00F664CB">
              <w:t xml:space="preserve">metal alloys </w:t>
            </w:r>
          </w:p>
          <w:p w:rsidR="00000000" w:rsidRPr="00F664CB" w:rsidP="00F664CB">
            <w:pPr>
              <w:pStyle w:val="ListBullet"/>
            </w:pPr>
            <w:r w:rsidRPr="00F664CB">
              <w:t xml:space="preserve">cloth and glass </w:t>
            </w:r>
          </w:p>
          <w:p w:rsidR="00000000" w:rsidRPr="00F664CB" w:rsidP="00F664CB">
            <w:pPr>
              <w:pStyle w:val="ListBullet"/>
            </w:pPr>
            <w:r w:rsidRPr="00F664CB">
              <w:t xml:space="preserve">flooring materials </w:t>
            </w:r>
          </w:p>
          <w:p w:rsidR="00000000" w:rsidP="00F664CB">
            <w:pPr>
              <w:pStyle w:val="ListBullet"/>
              <w:rPr>
                <w:lang w:val="en-NZ"/>
              </w:rPr>
            </w:pPr>
            <w:r w:rsidRPr="00F664CB">
              <w:t>the full range of consumables required to directly support the prod</w:t>
            </w:r>
            <w:r w:rsidRPr="00F664CB">
              <w:t xml:space="preserve">uction process </w:t>
            </w:r>
          </w:p>
        </w:tc>
      </w:tr>
      <w:tr w:rsidTr="00F664C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664CB">
            <w:pPr>
              <w:pStyle w:val="BodyText"/>
              <w:rPr>
                <w:lang w:val="en-NZ"/>
              </w:rPr>
            </w:pPr>
            <w:r w:rsidRPr="00F664CB">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F664CB">
            <w:pPr>
              <w:pStyle w:val="ListBullet"/>
              <w:rPr>
                <w:lang w:val="en-NZ"/>
              </w:rPr>
            </w:pPr>
            <w:r w:rsidRPr="00F664CB">
              <w:t xml:space="preserve">that prescribed under legislation, regulations and enterprise policies and practices </w:t>
            </w:r>
          </w:p>
        </w:tc>
      </w:tr>
      <w:tr w:rsidTr="00F664C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664CB">
            <w:pPr>
              <w:pStyle w:val="BodyText"/>
              <w:rPr>
                <w:lang w:val="en-NZ"/>
              </w:rPr>
            </w:pPr>
            <w:r w:rsidRPr="00F664CB">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F664CB" w:rsidP="00F664CB">
            <w:pPr>
              <w:pStyle w:val="ListBullet"/>
            </w:pPr>
            <w:r w:rsidRPr="00F664CB">
              <w:t xml:space="preserve">work procedures/instructions </w:t>
            </w:r>
          </w:p>
          <w:p w:rsidR="00000000" w:rsidRPr="00F664CB" w:rsidP="00F664CB">
            <w:pPr>
              <w:pStyle w:val="ListBullet"/>
            </w:pPr>
            <w:r w:rsidRPr="00F664CB">
              <w:t xml:space="preserve">manufacturer specifications and instructions </w:t>
            </w:r>
          </w:p>
          <w:p w:rsidR="00000000" w:rsidRPr="00F664CB" w:rsidP="00F664CB">
            <w:pPr>
              <w:pStyle w:val="ListBullet"/>
            </w:pPr>
            <w:r w:rsidRPr="00F664CB">
              <w:t xml:space="preserve">production process supply support information and specifications </w:t>
            </w:r>
          </w:p>
          <w:p w:rsidR="00000000" w:rsidRPr="00F664CB" w:rsidP="00F664CB">
            <w:pPr>
              <w:pStyle w:val="ListBullet"/>
            </w:pPr>
            <w:r w:rsidRPr="00F664CB">
              <w:t xml:space="preserve">commercial supply system indices, catalogues and bulletins </w:t>
            </w:r>
          </w:p>
          <w:p w:rsidR="00000000" w:rsidRPr="00F664CB" w:rsidP="00F664CB">
            <w:pPr>
              <w:pStyle w:val="ListBullet"/>
            </w:pPr>
            <w:r w:rsidRPr="00F664CB">
              <w:t xml:space="preserve">supplier evaluation histories </w:t>
            </w:r>
          </w:p>
          <w:p w:rsidR="00000000" w:rsidRPr="00F664CB" w:rsidP="00F664CB">
            <w:pPr>
              <w:pStyle w:val="ListBullet"/>
            </w:pPr>
            <w:r w:rsidRPr="00F664CB">
              <w:t xml:space="preserve">budgetary/fiscal constraints </w:t>
            </w:r>
          </w:p>
          <w:p w:rsidR="00000000" w:rsidRPr="00F664CB" w:rsidP="00F664CB">
            <w:pPr>
              <w:pStyle w:val="ListBullet"/>
            </w:pPr>
            <w:r w:rsidRPr="00F664CB">
              <w:t>legislation/regulation/</w:t>
            </w:r>
            <w:r w:rsidRPr="00F664CB">
              <w:t xml:space="preserve">national and industry codes and practices relevant to the product </w:t>
            </w:r>
          </w:p>
          <w:p w:rsidR="00000000" w:rsidRPr="00F664CB" w:rsidP="00F664CB">
            <w:pPr>
              <w:pStyle w:val="ListBullet"/>
            </w:pPr>
            <w:r w:rsidRPr="00F664CB">
              <w:t>quality and Australian Standards and procedures</w:t>
            </w:r>
          </w:p>
        </w:tc>
      </w:tr>
    </w:tbl>
    <w:p w:rsidR="00000000" w:rsidRPr="00F664CB" w:rsidP="00F664CB">
      <w:pPr>
        <w:pStyle w:val="BodyText"/>
      </w:pPr>
    </w:p>
    <w:p w:rsidR="00000000" w:rsidRPr="00F664CB" w:rsidP="00F664CB">
      <w:pPr>
        <w:pStyle w:val="AllowPageBreak"/>
      </w:pPr>
    </w:p>
    <w:p w:rsidR="00000000" w:rsidRPr="00F664CB" w:rsidP="00F664CB">
      <w:pPr>
        <w:pStyle w:val="Heading1"/>
      </w:pPr>
      <w:bookmarkStart w:id="9" w:name="O_633532"/>
      <w:bookmarkEnd w:id="9"/>
      <w:r w:rsidRPr="00F664CB">
        <w:t>Unit Mapping Information</w:t>
      </w:r>
    </w:p>
    <w:p w:rsidR="00000000" w:rsidRPr="00F664CB" w:rsidP="00161C69">
      <w:pPr>
        <w:pStyle w:val="BodyText"/>
      </w:pPr>
      <w:r w:rsidRPr="00F664CB">
        <w:t>Supersedes and is equivalent to LMFFT4004B Establish and monitor production inventory requirement</w:t>
      </w:r>
      <w:r w:rsidRPr="00F664CB">
        <w:t>s.</w:t>
      </w:r>
    </w:p>
    <w:p w:rsidR="00000000" w:rsidRPr="00F664CB" w:rsidP="00F664CB">
      <w:pPr>
        <w:pStyle w:val="Heading1"/>
      </w:pPr>
      <w:bookmarkStart w:id="10" w:name="O_633525"/>
      <w:bookmarkEnd w:id="10"/>
      <w:r w:rsidRPr="00F664CB">
        <w:t>Links</w:t>
      </w:r>
    </w:p>
    <w:p w:rsidR="00000000" w:rsidRPr="00F664CB" w:rsidP="00161C69">
      <w:pPr>
        <w:pStyle w:val="BodyText"/>
      </w:pPr>
      <w:r w:rsidRPr="00F664CB">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1F6847">
        <w:rPr>
          <w:rStyle w:val="Hyperlink"/>
        </w:rPr>
        <w:t>https://vetnet.gov.au/Pages/TrainingDocs.aspx?q=0601ab95-583a-4e93-b2d4-cfb27b03ed73</w:t>
      </w:r>
      <w:r>
        <w:fldChar w:fldCharType="end"/>
      </w:r>
    </w:p>
    <w:p w:rsidR="00000000" w:rsidRPr="00F664CB" w:rsidP="00F664CB"/>
    <w:sectPr w:rsidSect="00F664C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4C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4CB" w:rsidRPr="00161C69" w:rsidP="00161C6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4C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C69" w:rsidP="00F664C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61C69" w:rsidP="00F664CB">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61C69" w:rsidP="00F664C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4C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C6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664CB" w:rsidRPr="00161C69" w:rsidP="00161C6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4C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C69" w:rsidRPr="002D2AF8" w:rsidP="00F664CB">
    <w:pPr>
      <w:pStyle w:val="Header"/>
      <w:framePr w:wrap="around"/>
    </w:pPr>
    <w:r>
      <w:fldChar w:fldCharType="begin"/>
    </w:r>
    <w:r>
      <w:instrText xml:space="preserve"> TITLE   \* MERGEFORMAT </w:instrText>
    </w:r>
    <w:r>
      <w:fldChar w:fldCharType="separate"/>
    </w:r>
    <w:r>
      <w:t>MSFFT4004 Establish and monitor production inventory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May 2020</w:t>
    </w:r>
    <w:r>
      <w:fldChar w:fldCharType="end"/>
    </w:r>
  </w:p>
  <w:p w:rsidR="00161C69" w:rsidP="00F664C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EB02FD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292B8B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64C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664CB"/>
    <w:pPr>
      <w:spacing w:before="360" w:after="60"/>
      <w:outlineLvl w:val="0"/>
    </w:pPr>
    <w:rPr>
      <w:sz w:val="32"/>
    </w:rPr>
  </w:style>
  <w:style w:type="paragraph" w:styleId="Heading2">
    <w:name w:val="heading 2"/>
    <w:basedOn w:val="HeadingBase"/>
    <w:next w:val="BodyText"/>
    <w:link w:val="Heading2Char"/>
    <w:qFormat/>
    <w:rsid w:val="00F664CB"/>
    <w:pPr>
      <w:keepLines/>
      <w:spacing w:before="240" w:after="120"/>
      <w:outlineLvl w:val="1"/>
    </w:pPr>
    <w:rPr>
      <w:sz w:val="28"/>
      <w:szCs w:val="40"/>
    </w:rPr>
  </w:style>
  <w:style w:type="paragraph" w:styleId="Heading3">
    <w:name w:val="heading 3"/>
    <w:basedOn w:val="HeadingBase"/>
    <w:next w:val="BodyText"/>
    <w:link w:val="Heading3Char"/>
    <w:qFormat/>
    <w:rsid w:val="00F664CB"/>
    <w:pPr>
      <w:spacing w:before="180" w:after="120"/>
      <w:outlineLvl w:val="2"/>
    </w:pPr>
    <w:rPr>
      <w:spacing w:val="-10"/>
      <w:kern w:val="32"/>
    </w:rPr>
  </w:style>
  <w:style w:type="paragraph" w:styleId="Heading4">
    <w:name w:val="heading 4"/>
    <w:basedOn w:val="HeadingBase"/>
    <w:next w:val="BodyText"/>
    <w:link w:val="Heading4Char"/>
    <w:qFormat/>
    <w:rsid w:val="00F664CB"/>
    <w:pPr>
      <w:spacing w:before="160" w:after="120"/>
      <w:outlineLvl w:val="3"/>
    </w:pPr>
    <w:rPr>
      <w:sz w:val="22"/>
    </w:rPr>
  </w:style>
  <w:style w:type="paragraph" w:styleId="Heading5">
    <w:name w:val="heading 5"/>
    <w:basedOn w:val="HeadingBase"/>
    <w:next w:val="Normal"/>
    <w:link w:val="Heading5Char"/>
    <w:qFormat/>
    <w:rsid w:val="00F664CB"/>
    <w:pPr>
      <w:spacing w:before="80"/>
      <w:outlineLvl w:val="4"/>
    </w:pPr>
    <w:rPr>
      <w:color w:val="918585"/>
      <w:sz w:val="20"/>
    </w:rPr>
  </w:style>
  <w:style w:type="paragraph" w:styleId="Heading6">
    <w:name w:val="heading 6"/>
    <w:basedOn w:val="HeadingBase"/>
    <w:next w:val="Normal"/>
    <w:link w:val="Heading6Char"/>
    <w:qFormat/>
    <w:rsid w:val="00F664CB"/>
    <w:pPr>
      <w:spacing w:before="60"/>
      <w:outlineLvl w:val="5"/>
    </w:pPr>
    <w:rPr>
      <w:color w:val="918585"/>
      <w:sz w:val="20"/>
    </w:rPr>
  </w:style>
  <w:style w:type="paragraph" w:styleId="Heading7">
    <w:name w:val="heading 7"/>
    <w:basedOn w:val="Normal"/>
    <w:next w:val="Normal"/>
    <w:link w:val="Heading7Char"/>
    <w:qFormat/>
    <w:rsid w:val="00F664CB"/>
    <w:pPr>
      <w:ind w:left="720"/>
      <w:outlineLvl w:val="6"/>
    </w:pPr>
    <w:rPr>
      <w:i/>
    </w:rPr>
  </w:style>
  <w:style w:type="paragraph" w:styleId="Heading8">
    <w:name w:val="heading 8"/>
    <w:basedOn w:val="Normal"/>
    <w:next w:val="Normal"/>
    <w:link w:val="Heading8Char"/>
    <w:qFormat/>
    <w:rsid w:val="00F664CB"/>
    <w:pPr>
      <w:ind w:left="720"/>
      <w:outlineLvl w:val="7"/>
    </w:pPr>
    <w:rPr>
      <w:i/>
    </w:rPr>
  </w:style>
  <w:style w:type="paragraph" w:styleId="Heading9">
    <w:name w:val="heading 9"/>
    <w:basedOn w:val="Normal"/>
    <w:next w:val="Normal"/>
    <w:link w:val="Heading9Char"/>
    <w:qFormat/>
    <w:rsid w:val="00F664CB"/>
    <w:pPr>
      <w:ind w:left="720"/>
      <w:outlineLvl w:val="8"/>
    </w:pPr>
    <w:rPr>
      <w:i/>
    </w:rPr>
  </w:style>
  <w:style w:type="character" w:default="1" w:styleId="DefaultParagraphFont">
    <w:name w:val="Default Paragraph Font"/>
    <w:uiPriority w:val="1"/>
    <w:unhideWhenUsed/>
    <w:rsid w:val="00F664C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664CB"/>
  </w:style>
  <w:style w:type="character" w:customStyle="1" w:styleId="Heading1Char">
    <w:name w:val="Heading 1 Char"/>
    <w:basedOn w:val="DefaultParagraphFont"/>
    <w:link w:val="Heading1"/>
    <w:rsid w:val="00F664CB"/>
    <w:rPr>
      <w:rFonts w:ascii="Times New Roman" w:eastAsia="Times New Roman" w:hAnsi="Times New Roman" w:cs="Times New Roman"/>
      <w:b/>
      <w:sz w:val="32"/>
      <w:szCs w:val="20"/>
      <w:lang w:eastAsia="en-US"/>
    </w:rPr>
  </w:style>
  <w:style w:type="paragraph" w:styleId="BodyText">
    <w:name w:val="Body Text"/>
    <w:basedOn w:val="Normal"/>
    <w:link w:val="BodyTextChar"/>
    <w:rsid w:val="00F664C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664CB"/>
    <w:rPr>
      <w:rFonts w:ascii="Times New Roman" w:eastAsia="Times New Roman" w:hAnsi="Times New Roman" w:cs="Times New Roman"/>
      <w:sz w:val="24"/>
      <w:lang w:eastAsia="en-US"/>
    </w:rPr>
  </w:style>
  <w:style w:type="paragraph" w:styleId="ListBullet">
    <w:name w:val="List Bullet"/>
    <w:basedOn w:val="List"/>
    <w:rsid w:val="00F664CB"/>
    <w:pPr>
      <w:numPr>
        <w:numId w:val="11"/>
      </w:numPr>
      <w:tabs>
        <w:tab w:val="clear" w:pos="340"/>
      </w:tabs>
      <w:spacing w:before="40" w:after="40"/>
    </w:pPr>
  </w:style>
  <w:style w:type="character" w:customStyle="1" w:styleId="SpecialBold">
    <w:name w:val="Special Bold"/>
    <w:basedOn w:val="DefaultParagraphFont"/>
    <w:rsid w:val="00F664CB"/>
    <w:rPr>
      <w:b/>
      <w:spacing w:val="0"/>
    </w:rPr>
  </w:style>
  <w:style w:type="paragraph" w:customStyle="1" w:styleId="SuperHeading">
    <w:name w:val="SuperHeading"/>
    <w:basedOn w:val="Normal"/>
    <w:rsid w:val="00F664CB"/>
    <w:pPr>
      <w:spacing w:before="240" w:after="120"/>
      <w:outlineLvl w:val="0"/>
    </w:pPr>
    <w:rPr>
      <w:rFonts w:ascii="Times New Roman" w:hAnsi="Times New Roman"/>
      <w:b/>
      <w:sz w:val="32"/>
    </w:rPr>
  </w:style>
  <w:style w:type="paragraph" w:customStyle="1" w:styleId="AllowPageBreak">
    <w:name w:val="AllowPageBreak"/>
    <w:rsid w:val="00F664C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664C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664C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664C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664C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664C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664C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664C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664CB"/>
    <w:rPr>
      <w:rFonts w:ascii="Courier New" w:eastAsia="Times New Roman" w:hAnsi="Courier New" w:cs="Times New Roman"/>
      <w:i/>
      <w:szCs w:val="20"/>
      <w:lang w:eastAsia="en-US"/>
    </w:rPr>
  </w:style>
  <w:style w:type="paragraph" w:customStyle="1" w:styleId="HeadingBase">
    <w:name w:val="Heading Base"/>
    <w:rsid w:val="00F664C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664CB"/>
    <w:pPr>
      <w:tabs>
        <w:tab w:val="right" w:leader="dot" w:pos="9072"/>
      </w:tabs>
      <w:ind w:left="567"/>
    </w:pPr>
    <w:rPr>
      <w:szCs w:val="22"/>
    </w:rPr>
  </w:style>
  <w:style w:type="paragraph" w:customStyle="1" w:styleId="TOCBase">
    <w:name w:val="TOC Base"/>
    <w:rsid w:val="00F664C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664CB"/>
    <w:pPr>
      <w:tabs>
        <w:tab w:val="right" w:leader="dot" w:pos="9072"/>
      </w:tabs>
      <w:spacing w:before="40" w:after="40"/>
      <w:ind w:left="284"/>
    </w:pPr>
    <w:rPr>
      <w:rFonts w:ascii="Times New Roman" w:hAnsi="Times New Roman"/>
    </w:rPr>
  </w:style>
  <w:style w:type="paragraph" w:styleId="TOC1">
    <w:name w:val="toc 1"/>
    <w:basedOn w:val="TOCBase"/>
    <w:next w:val="Normal"/>
    <w:rsid w:val="00F664C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664C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664CB"/>
    <w:rPr>
      <w:rFonts w:ascii="Times New Roman" w:eastAsia="Times New Roman" w:hAnsi="Times New Roman" w:cs="Times New Roman"/>
      <w:sz w:val="16"/>
      <w:lang w:eastAsia="en-US"/>
    </w:rPr>
  </w:style>
  <w:style w:type="paragraph" w:styleId="Title">
    <w:name w:val="Title"/>
    <w:basedOn w:val="HeadingBase"/>
    <w:link w:val="TitleChar"/>
    <w:qFormat/>
    <w:rsid w:val="00F664CB"/>
    <w:pPr>
      <w:spacing w:before="5040"/>
      <w:jc w:val="center"/>
    </w:pPr>
    <w:rPr>
      <w:sz w:val="48"/>
      <w:szCs w:val="72"/>
      <w:lang w:val="en-US"/>
    </w:rPr>
  </w:style>
  <w:style w:type="character" w:customStyle="1" w:styleId="TitleChar">
    <w:name w:val="Title Char"/>
    <w:basedOn w:val="DefaultParagraphFont"/>
    <w:link w:val="Title"/>
    <w:rsid w:val="00F664C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664CB"/>
    <w:pPr>
      <w:tabs>
        <w:tab w:val="left" w:pos="3600"/>
        <w:tab w:val="left" w:pos="3958"/>
      </w:tabs>
    </w:pPr>
  </w:style>
  <w:style w:type="paragraph" w:styleId="List">
    <w:name w:val="List"/>
    <w:basedOn w:val="BodyText"/>
    <w:next w:val="BodyText"/>
    <w:rsid w:val="00F664CB"/>
    <w:pPr>
      <w:tabs>
        <w:tab w:val="left" w:pos="340"/>
      </w:tabs>
      <w:spacing w:before="60" w:after="60"/>
      <w:ind w:left="340" w:hanging="340"/>
    </w:pPr>
  </w:style>
  <w:style w:type="paragraph" w:customStyle="1" w:styleId="Note">
    <w:name w:val="Note"/>
    <w:basedOn w:val="BodyText"/>
    <w:rsid w:val="00F664C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664CB"/>
    <w:pPr>
      <w:framePr w:wrap="auto" w:hAnchor="text" w:y="6049"/>
    </w:pPr>
    <w:rPr>
      <w:color w:val="000000"/>
      <w:sz w:val="40"/>
    </w:rPr>
  </w:style>
  <w:style w:type="paragraph" w:customStyle="1" w:styleId="TOCTitle">
    <w:name w:val="TOCTitle"/>
    <w:basedOn w:val="Heading1"/>
    <w:rsid w:val="00F664CB"/>
    <w:pPr>
      <w:spacing w:after="240"/>
      <w:jc w:val="center"/>
      <w:outlineLvl w:val="9"/>
    </w:pPr>
    <w:rPr>
      <w:caps/>
    </w:rPr>
  </w:style>
  <w:style w:type="paragraph" w:customStyle="1" w:styleId="Version">
    <w:name w:val="Version"/>
    <w:rsid w:val="00F664C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664CB"/>
    <w:pPr>
      <w:numPr>
        <w:numId w:val="12"/>
      </w:numPr>
      <w:tabs>
        <w:tab w:val="clear" w:pos="680"/>
      </w:tabs>
    </w:pPr>
  </w:style>
  <w:style w:type="paragraph" w:styleId="Index1">
    <w:name w:val="index 1"/>
    <w:basedOn w:val="Normal"/>
    <w:next w:val="Normal"/>
    <w:semiHidden/>
    <w:rsid w:val="00F664CB"/>
    <w:pPr>
      <w:keepNext w:val="0"/>
      <w:tabs>
        <w:tab w:val="right" w:pos="4176"/>
      </w:tabs>
      <w:ind w:left="198" w:hanging="198"/>
    </w:pPr>
    <w:rPr>
      <w:rFonts w:ascii="Garamond" w:hAnsi="Garamond"/>
    </w:rPr>
  </w:style>
  <w:style w:type="paragraph" w:styleId="IndexHeading">
    <w:name w:val="index heading"/>
    <w:basedOn w:val="Normal"/>
    <w:next w:val="Index1"/>
    <w:semiHidden/>
    <w:rsid w:val="00F664CB"/>
    <w:pPr>
      <w:spacing w:before="120" w:after="120"/>
    </w:pPr>
    <w:rPr>
      <w:rFonts w:ascii="Arial" w:hAnsi="Arial"/>
      <w:b/>
      <w:color w:val="918585"/>
      <w:sz w:val="24"/>
    </w:rPr>
  </w:style>
  <w:style w:type="paragraph" w:styleId="Header">
    <w:name w:val="header"/>
    <w:basedOn w:val="Normal"/>
    <w:link w:val="HeaderChar"/>
    <w:rsid w:val="00F664C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664CB"/>
    <w:rPr>
      <w:rFonts w:ascii="Times New Roman" w:eastAsia="Times New Roman" w:hAnsi="Times New Roman" w:cs="Times New Roman"/>
      <w:sz w:val="16"/>
      <w:szCs w:val="20"/>
      <w:lang w:val="en-GB" w:eastAsia="en-US"/>
    </w:rPr>
  </w:style>
  <w:style w:type="paragraph" w:customStyle="1" w:styleId="Chapter">
    <w:name w:val="Chapter"/>
    <w:basedOn w:val="Normal"/>
    <w:rsid w:val="00F664CB"/>
    <w:pPr>
      <w:spacing w:before="240"/>
    </w:pPr>
    <w:rPr>
      <w:rFonts w:ascii="Times New Roman" w:hAnsi="Times New Roman"/>
      <w:smallCaps/>
      <w:spacing w:val="80"/>
      <w:sz w:val="28"/>
    </w:rPr>
  </w:style>
  <w:style w:type="paragraph" w:customStyle="1" w:styleId="InChapter">
    <w:name w:val="InChapter"/>
    <w:basedOn w:val="Heading3"/>
    <w:rsid w:val="00F664CB"/>
    <w:pPr>
      <w:spacing w:after="240"/>
      <w:outlineLvl w:val="9"/>
    </w:pPr>
    <w:rPr>
      <w:noProof/>
    </w:rPr>
  </w:style>
  <w:style w:type="paragraph" w:styleId="Index2">
    <w:name w:val="index 2"/>
    <w:basedOn w:val="Normal"/>
    <w:next w:val="Normal"/>
    <w:semiHidden/>
    <w:rsid w:val="00F664CB"/>
    <w:pPr>
      <w:tabs>
        <w:tab w:val="right" w:pos="4176"/>
      </w:tabs>
      <w:ind w:left="568" w:hanging="284"/>
    </w:pPr>
    <w:rPr>
      <w:rFonts w:ascii="Garamond" w:hAnsi="Garamond"/>
    </w:rPr>
  </w:style>
  <w:style w:type="paragraph" w:customStyle="1" w:styleId="Byline">
    <w:name w:val="Byline"/>
    <w:rsid w:val="00F664C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664CB"/>
    <w:pPr>
      <w:tabs>
        <w:tab w:val="clear" w:pos="3600"/>
        <w:tab w:val="clear" w:pos="3958"/>
      </w:tabs>
      <w:jc w:val="right"/>
    </w:pPr>
  </w:style>
  <w:style w:type="character" w:styleId="Emphasis">
    <w:name w:val="Emphasis"/>
    <w:basedOn w:val="DefaultParagraphFont"/>
    <w:qFormat/>
    <w:rsid w:val="00F664CB"/>
    <w:rPr>
      <w:i/>
    </w:rPr>
  </w:style>
  <w:style w:type="paragraph" w:styleId="Caption">
    <w:name w:val="caption"/>
    <w:basedOn w:val="BodyText"/>
    <w:next w:val="Normal"/>
    <w:qFormat/>
    <w:rsid w:val="00F664CB"/>
    <w:pPr>
      <w:framePr w:w="2268" w:hSpace="181" w:vSpace="181" w:wrap="around" w:vAnchor="text" w:hAnchor="page" w:x="1135" w:y="285" w:anchorLock="1"/>
    </w:pPr>
    <w:rPr>
      <w:i/>
    </w:rPr>
  </w:style>
  <w:style w:type="paragraph" w:customStyle="1" w:styleId="MiniTOCTitle">
    <w:name w:val="MiniTOCTitle"/>
    <w:basedOn w:val="Heading4"/>
    <w:rsid w:val="00F664CB"/>
    <w:pPr>
      <w:spacing w:before="240"/>
      <w:outlineLvl w:val="9"/>
    </w:pPr>
    <w:rPr>
      <w:noProof/>
      <w:sz w:val="24"/>
    </w:rPr>
  </w:style>
  <w:style w:type="paragraph" w:customStyle="1" w:styleId="MiniTOCItem">
    <w:name w:val="MiniTOCItem"/>
    <w:basedOn w:val="ListBullet"/>
    <w:rsid w:val="00F664CB"/>
    <w:pPr>
      <w:numPr>
        <w:numId w:val="0"/>
      </w:numPr>
      <w:tabs>
        <w:tab w:val="right" w:leader="dot" w:pos="6521"/>
      </w:tabs>
      <w:spacing w:before="0" w:after="0"/>
    </w:pPr>
  </w:style>
  <w:style w:type="paragraph" w:customStyle="1" w:styleId="TOFTitle">
    <w:name w:val="TOFTitle"/>
    <w:basedOn w:val="TOCTitle"/>
    <w:rsid w:val="00F664CB"/>
  </w:style>
  <w:style w:type="paragraph" w:styleId="TableofFigures">
    <w:name w:val="table of figures"/>
    <w:basedOn w:val="Normal"/>
    <w:next w:val="Normal"/>
    <w:semiHidden/>
    <w:rsid w:val="00F664CB"/>
    <w:pPr>
      <w:tabs>
        <w:tab w:val="right" w:leader="dot" w:pos="9072"/>
      </w:tabs>
      <w:ind w:left="970" w:hanging="403"/>
    </w:pPr>
    <w:rPr>
      <w:rFonts w:ascii="Times New Roman" w:hAnsi="Times New Roman"/>
      <w:b/>
    </w:rPr>
  </w:style>
  <w:style w:type="paragraph" w:styleId="ListNumber">
    <w:name w:val="List Number"/>
    <w:basedOn w:val="List"/>
    <w:rsid w:val="00F664CB"/>
    <w:pPr>
      <w:numPr>
        <w:numId w:val="14"/>
      </w:numPr>
      <w:tabs>
        <w:tab w:val="clear" w:pos="340"/>
      </w:tabs>
    </w:pPr>
  </w:style>
  <w:style w:type="character" w:customStyle="1" w:styleId="WingdingSymbols">
    <w:name w:val="Wingding Symbols"/>
    <w:rsid w:val="00F664CB"/>
    <w:rPr>
      <w:rFonts w:ascii="Wingdings" w:hAnsi="Wingdings"/>
    </w:rPr>
  </w:style>
  <w:style w:type="paragraph" w:customStyle="1" w:styleId="TableHeading">
    <w:name w:val="Table Heading"/>
    <w:basedOn w:val="HeadingBase"/>
    <w:rsid w:val="00F664CB"/>
    <w:pPr>
      <w:keepLines/>
      <w:pBdr>
        <w:bottom w:val="single" w:sz="6" w:space="1" w:color="918585"/>
      </w:pBdr>
      <w:spacing w:before="240"/>
    </w:pPr>
  </w:style>
  <w:style w:type="character" w:customStyle="1" w:styleId="HotSpot">
    <w:name w:val="HotSpot"/>
    <w:rsid w:val="00F664CB"/>
    <w:rPr>
      <w:color w:val="0033CC"/>
      <w:u w:val="none"/>
    </w:rPr>
  </w:style>
  <w:style w:type="paragraph" w:customStyle="1" w:styleId="BodyTextRight">
    <w:name w:val="Body Text Right"/>
    <w:basedOn w:val="BodyText"/>
    <w:rsid w:val="00F664CB"/>
    <w:pPr>
      <w:spacing w:before="0" w:after="0"/>
      <w:jc w:val="right"/>
    </w:pPr>
  </w:style>
  <w:style w:type="paragraph" w:styleId="Index3">
    <w:name w:val="index 3"/>
    <w:basedOn w:val="ListNumber2"/>
    <w:next w:val="Normal"/>
    <w:semiHidden/>
    <w:rsid w:val="00F664CB"/>
    <w:pPr>
      <w:numPr>
        <w:numId w:val="0"/>
      </w:numPr>
      <w:tabs>
        <w:tab w:val="right" w:leader="dot" w:pos="4176"/>
      </w:tabs>
    </w:pPr>
  </w:style>
  <w:style w:type="paragraph" w:styleId="ListNumber2">
    <w:name w:val="List Number 2"/>
    <w:basedOn w:val="List2"/>
    <w:rsid w:val="00F664CB"/>
    <w:pPr>
      <w:numPr>
        <w:numId w:val="9"/>
      </w:numPr>
      <w:tabs>
        <w:tab w:val="clear" w:pos="1060"/>
      </w:tabs>
    </w:pPr>
  </w:style>
  <w:style w:type="paragraph" w:customStyle="1" w:styleId="MarginNote">
    <w:name w:val="Margin Note"/>
    <w:basedOn w:val="BodyText"/>
    <w:rsid w:val="00F664C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664C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664C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664CB"/>
    <w:rPr>
      <w:sz w:val="32"/>
    </w:rPr>
  </w:style>
  <w:style w:type="paragraph" w:customStyle="1" w:styleId="HeadingProcedure">
    <w:name w:val="Heading Procedure"/>
    <w:basedOn w:val="HeadingBase"/>
    <w:next w:val="Normal"/>
    <w:rsid w:val="00F664CB"/>
    <w:pPr>
      <w:tabs>
        <w:tab w:val="left" w:pos="0"/>
      </w:tabs>
      <w:spacing w:before="120" w:after="60"/>
    </w:pPr>
    <w:rPr>
      <w:i/>
      <w:color w:val="918585"/>
      <w:sz w:val="22"/>
    </w:rPr>
  </w:style>
  <w:style w:type="paragraph" w:customStyle="1" w:styleId="TableBodyText">
    <w:name w:val="Table Body Text"/>
    <w:basedOn w:val="BodyText"/>
    <w:rsid w:val="00F664CB"/>
    <w:pPr>
      <w:spacing w:before="60" w:after="60"/>
    </w:pPr>
  </w:style>
  <w:style w:type="paragraph" w:styleId="ListContinue">
    <w:name w:val="List Continue"/>
    <w:basedOn w:val="List"/>
    <w:rsid w:val="00F664CB"/>
    <w:pPr>
      <w:ind w:firstLine="0"/>
    </w:pPr>
  </w:style>
  <w:style w:type="paragraph" w:customStyle="1" w:styleId="ListNote">
    <w:name w:val="List Note"/>
    <w:basedOn w:val="List"/>
    <w:rsid w:val="00F664CB"/>
    <w:pPr>
      <w:pBdr>
        <w:top w:val="single" w:sz="6" w:space="2" w:color="918585"/>
        <w:bottom w:val="single" w:sz="6" w:space="2" w:color="918585"/>
      </w:pBdr>
      <w:tabs>
        <w:tab w:val="left" w:pos="1021"/>
      </w:tabs>
      <w:ind w:firstLine="0"/>
    </w:pPr>
  </w:style>
  <w:style w:type="paragraph" w:customStyle="1" w:styleId="Warning">
    <w:name w:val="Warning"/>
    <w:basedOn w:val="BodyText"/>
    <w:rsid w:val="00F664CB"/>
    <w:pPr>
      <w:shd w:val="clear" w:color="auto" w:fill="D9D9D9"/>
      <w:tabs>
        <w:tab w:val="left" w:pos="992"/>
      </w:tabs>
      <w:ind w:left="119" w:right="119"/>
    </w:pPr>
    <w:rPr>
      <w:sz w:val="20"/>
    </w:rPr>
  </w:style>
  <w:style w:type="paragraph" w:customStyle="1" w:styleId="MarginIcons">
    <w:name w:val="Margin Icons"/>
    <w:basedOn w:val="BodyText"/>
    <w:rsid w:val="00F664C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664CB"/>
    <w:rPr>
      <w:rFonts w:ascii="Courier New" w:hAnsi="Courier New"/>
    </w:rPr>
  </w:style>
  <w:style w:type="paragraph" w:customStyle="1" w:styleId="NoteBullet">
    <w:name w:val="Note Bullet"/>
    <w:basedOn w:val="Note"/>
    <w:rsid w:val="00F664CB"/>
    <w:pPr>
      <w:tabs>
        <w:tab w:val="clear" w:pos="680"/>
      </w:tabs>
      <w:spacing w:before="60" w:after="60"/>
    </w:pPr>
  </w:style>
  <w:style w:type="paragraph" w:customStyle="1" w:styleId="SubHeading2">
    <w:name w:val="SubHeading2"/>
    <w:basedOn w:val="HeadingBase"/>
    <w:rsid w:val="00F664CB"/>
    <w:pPr>
      <w:spacing w:before="240" w:after="60"/>
    </w:pPr>
    <w:rPr>
      <w:sz w:val="20"/>
    </w:rPr>
  </w:style>
  <w:style w:type="paragraph" w:customStyle="1" w:styleId="SubHeading1">
    <w:name w:val="SubHeading1"/>
    <w:basedOn w:val="HeadingBase"/>
    <w:rsid w:val="00F664CB"/>
    <w:pPr>
      <w:spacing w:before="240" w:after="60"/>
    </w:pPr>
    <w:rPr>
      <w:color w:val="918585"/>
      <w:sz w:val="22"/>
    </w:rPr>
  </w:style>
  <w:style w:type="paragraph" w:customStyle="1" w:styleId="SideHeading">
    <w:name w:val="Side Heading"/>
    <w:basedOn w:val="HeadingBase"/>
    <w:rsid w:val="00F664C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664CB"/>
    <w:pPr>
      <w:numPr>
        <w:numId w:val="10"/>
      </w:numPr>
    </w:pPr>
  </w:style>
  <w:style w:type="paragraph" w:styleId="PlainText">
    <w:name w:val="Plain Text"/>
    <w:basedOn w:val="Normal"/>
    <w:link w:val="PlainTextChar"/>
    <w:rsid w:val="00F664CB"/>
    <w:rPr>
      <w:sz w:val="20"/>
    </w:rPr>
  </w:style>
  <w:style w:type="character" w:customStyle="1" w:styleId="PlainTextChar">
    <w:name w:val="Plain Text Char"/>
    <w:basedOn w:val="DefaultParagraphFont"/>
    <w:link w:val="PlainText"/>
    <w:rsid w:val="00F664CB"/>
    <w:rPr>
      <w:rFonts w:ascii="Courier New" w:eastAsia="Times New Roman" w:hAnsi="Courier New" w:cs="Times New Roman"/>
      <w:sz w:val="20"/>
      <w:szCs w:val="20"/>
      <w:lang w:eastAsia="en-US"/>
    </w:rPr>
  </w:style>
  <w:style w:type="character" w:customStyle="1" w:styleId="MenuOption">
    <w:name w:val="Menu Option"/>
    <w:basedOn w:val="DefaultParagraphFont"/>
    <w:rsid w:val="00F664CB"/>
    <w:rPr>
      <w:b/>
      <w:smallCaps/>
    </w:rPr>
  </w:style>
  <w:style w:type="paragraph" w:customStyle="1" w:styleId="TableListNumber">
    <w:name w:val="Table List Number"/>
    <w:basedOn w:val="ListNumber"/>
    <w:rsid w:val="00F664CB"/>
    <w:pPr>
      <w:numPr>
        <w:numId w:val="0"/>
      </w:numPr>
    </w:pPr>
  </w:style>
  <w:style w:type="paragraph" w:styleId="TOC4">
    <w:name w:val="toc 4"/>
    <w:basedOn w:val="TOCBase"/>
    <w:next w:val="Normal"/>
    <w:semiHidden/>
    <w:rsid w:val="00F664CB"/>
    <w:pPr>
      <w:tabs>
        <w:tab w:val="right" w:leader="dot" w:pos="9071"/>
      </w:tabs>
      <w:ind w:left="1701"/>
    </w:pPr>
  </w:style>
  <w:style w:type="paragraph" w:customStyle="1" w:styleId="ListAlpha">
    <w:name w:val="List Alpha"/>
    <w:basedOn w:val="List"/>
    <w:rsid w:val="00F664CB"/>
    <w:pPr>
      <w:numPr>
        <w:numId w:val="8"/>
      </w:numPr>
    </w:pPr>
  </w:style>
  <w:style w:type="paragraph" w:customStyle="1" w:styleId="ListAlpha2">
    <w:name w:val="List Alpha 2"/>
    <w:basedOn w:val="List2"/>
    <w:rsid w:val="00F664CB"/>
    <w:pPr>
      <w:numPr>
        <w:numId w:val="7"/>
      </w:numPr>
    </w:pPr>
  </w:style>
  <w:style w:type="paragraph" w:styleId="List2">
    <w:name w:val="List 2"/>
    <w:basedOn w:val="BodyText"/>
    <w:rsid w:val="00F664CB"/>
    <w:pPr>
      <w:tabs>
        <w:tab w:val="left" w:pos="680"/>
      </w:tabs>
      <w:spacing w:before="60" w:after="60"/>
      <w:ind w:left="680" w:hanging="340"/>
    </w:pPr>
  </w:style>
  <w:style w:type="paragraph" w:styleId="List3">
    <w:name w:val="List 3"/>
    <w:basedOn w:val="BodyText"/>
    <w:rsid w:val="00F664CB"/>
    <w:pPr>
      <w:tabs>
        <w:tab w:val="left" w:pos="1021"/>
      </w:tabs>
      <w:spacing w:before="60" w:after="60"/>
      <w:ind w:left="1020" w:hanging="340"/>
    </w:pPr>
  </w:style>
  <w:style w:type="paragraph" w:styleId="List4">
    <w:name w:val="List 4"/>
    <w:basedOn w:val="BodyText"/>
    <w:rsid w:val="00F664CB"/>
    <w:pPr>
      <w:tabs>
        <w:tab w:val="left" w:pos="1361"/>
      </w:tabs>
      <w:spacing w:before="60" w:after="60"/>
      <w:ind w:left="1361" w:hanging="340"/>
    </w:pPr>
  </w:style>
  <w:style w:type="paragraph" w:styleId="List5">
    <w:name w:val="List 5"/>
    <w:basedOn w:val="BodyText"/>
    <w:rsid w:val="00F664CB"/>
    <w:pPr>
      <w:tabs>
        <w:tab w:val="left" w:pos="1701"/>
      </w:tabs>
      <w:spacing w:before="60" w:after="60"/>
      <w:ind w:left="1701" w:hanging="340"/>
    </w:pPr>
  </w:style>
  <w:style w:type="paragraph" w:styleId="ListBullet3">
    <w:name w:val="List Bullet 3"/>
    <w:basedOn w:val="List3"/>
    <w:rsid w:val="00F664CB"/>
    <w:pPr>
      <w:numPr>
        <w:numId w:val="13"/>
      </w:numPr>
      <w:tabs>
        <w:tab w:val="clear" w:pos="1021"/>
      </w:tabs>
      <w:ind w:left="1037" w:hanging="357"/>
    </w:pPr>
  </w:style>
  <w:style w:type="paragraph" w:styleId="ListBullet4">
    <w:name w:val="List Bullet 4"/>
    <w:basedOn w:val="List4"/>
    <w:rsid w:val="00F664CB"/>
    <w:pPr>
      <w:numPr>
        <w:numId w:val="2"/>
      </w:numPr>
      <w:tabs>
        <w:tab w:val="clear" w:pos="1361"/>
      </w:tabs>
    </w:pPr>
  </w:style>
  <w:style w:type="paragraph" w:styleId="ListBullet5">
    <w:name w:val="List Bullet 5"/>
    <w:basedOn w:val="List5"/>
    <w:rsid w:val="00F664CB"/>
    <w:pPr>
      <w:numPr>
        <w:numId w:val="3"/>
      </w:numPr>
    </w:pPr>
  </w:style>
  <w:style w:type="paragraph" w:styleId="ListContinue2">
    <w:name w:val="List Continue 2"/>
    <w:basedOn w:val="List2"/>
    <w:rsid w:val="00F664CB"/>
    <w:pPr>
      <w:ind w:firstLine="0"/>
    </w:pPr>
  </w:style>
  <w:style w:type="paragraph" w:styleId="ListContinue3">
    <w:name w:val="List Continue 3"/>
    <w:basedOn w:val="List3"/>
    <w:rsid w:val="00F664CB"/>
    <w:pPr>
      <w:ind w:left="1021" w:firstLine="0"/>
    </w:pPr>
  </w:style>
  <w:style w:type="paragraph" w:styleId="ListContinue4">
    <w:name w:val="List Continue 4"/>
    <w:basedOn w:val="List4"/>
    <w:rsid w:val="00F664CB"/>
    <w:pPr>
      <w:ind w:firstLine="0"/>
    </w:pPr>
  </w:style>
  <w:style w:type="paragraph" w:styleId="ListContinue5">
    <w:name w:val="List Continue 5"/>
    <w:basedOn w:val="List5"/>
    <w:rsid w:val="00F664CB"/>
    <w:pPr>
      <w:ind w:firstLine="0"/>
    </w:pPr>
  </w:style>
  <w:style w:type="paragraph" w:styleId="ListNumber3">
    <w:name w:val="List Number 3"/>
    <w:basedOn w:val="List3"/>
    <w:rsid w:val="00F664CB"/>
    <w:pPr>
      <w:numPr>
        <w:numId w:val="4"/>
      </w:numPr>
    </w:pPr>
  </w:style>
  <w:style w:type="paragraph" w:styleId="ListNumber4">
    <w:name w:val="List Number 4"/>
    <w:basedOn w:val="List4"/>
    <w:rsid w:val="00F664CB"/>
    <w:pPr>
      <w:numPr>
        <w:numId w:val="5"/>
      </w:numPr>
    </w:pPr>
  </w:style>
  <w:style w:type="paragraph" w:styleId="ListNumber5">
    <w:name w:val="List Number 5"/>
    <w:basedOn w:val="List5"/>
    <w:rsid w:val="00F664CB"/>
    <w:pPr>
      <w:numPr>
        <w:numId w:val="6"/>
      </w:numPr>
    </w:pPr>
  </w:style>
  <w:style w:type="paragraph" w:styleId="BlockText">
    <w:name w:val="Block Text"/>
    <w:basedOn w:val="Normal"/>
    <w:rsid w:val="00F664CB"/>
    <w:pPr>
      <w:spacing w:after="120"/>
      <w:ind w:left="1440" w:right="1440"/>
    </w:pPr>
  </w:style>
  <w:style w:type="character" w:customStyle="1" w:styleId="Subscript">
    <w:name w:val="Subscript"/>
    <w:basedOn w:val="DefaultParagraphFont"/>
    <w:rsid w:val="00F664CB"/>
    <w:rPr>
      <w:sz w:val="16"/>
      <w:vertAlign w:val="subscript"/>
    </w:rPr>
  </w:style>
  <w:style w:type="character" w:customStyle="1" w:styleId="Superscript">
    <w:name w:val="Superscript"/>
    <w:basedOn w:val="DefaultParagraphFont"/>
    <w:rsid w:val="00F664CB"/>
    <w:rPr>
      <w:sz w:val="16"/>
      <w:vertAlign w:val="superscript"/>
    </w:rPr>
  </w:style>
  <w:style w:type="character" w:customStyle="1" w:styleId="Symbols">
    <w:name w:val="Symbols"/>
    <w:basedOn w:val="DefaultParagraphFont"/>
    <w:rsid w:val="00F664CB"/>
    <w:rPr>
      <w:rFonts w:ascii="Symbol" w:hAnsi="Symbol"/>
    </w:rPr>
  </w:style>
  <w:style w:type="character" w:customStyle="1" w:styleId="MenuOptions">
    <w:name w:val="Menu Options"/>
    <w:basedOn w:val="DefaultParagraphFont"/>
    <w:rsid w:val="00F664CB"/>
    <w:rPr>
      <w:rFonts w:ascii="Arial Narrow" w:hAnsi="Arial Narrow"/>
      <w:smallCaps/>
    </w:rPr>
  </w:style>
  <w:style w:type="character" w:customStyle="1" w:styleId="Buttons">
    <w:name w:val="Buttons"/>
    <w:basedOn w:val="DefaultParagraphFont"/>
    <w:rsid w:val="00F664CB"/>
    <w:rPr>
      <w:b/>
    </w:rPr>
  </w:style>
  <w:style w:type="character" w:customStyle="1" w:styleId="Underlined">
    <w:name w:val="Underlined"/>
    <w:basedOn w:val="DefaultParagraphFont"/>
    <w:rsid w:val="00F664CB"/>
    <w:rPr>
      <w:u w:val="single"/>
    </w:rPr>
  </w:style>
  <w:style w:type="paragraph" w:customStyle="1" w:styleId="TableBodyTextRight">
    <w:name w:val="Table Body Text Right"/>
    <w:basedOn w:val="TableBodyText"/>
    <w:rsid w:val="00F664CB"/>
    <w:pPr>
      <w:widowControl w:val="0"/>
      <w:autoSpaceDE w:val="0"/>
      <w:autoSpaceDN w:val="0"/>
      <w:adjustRightInd w:val="0"/>
      <w:jc w:val="right"/>
    </w:pPr>
    <w:rPr>
      <w:rFonts w:cs="Arial"/>
      <w:szCs w:val="18"/>
    </w:rPr>
  </w:style>
  <w:style w:type="paragraph" w:customStyle="1" w:styleId="CopyrightText">
    <w:name w:val="Copyright Text"/>
    <w:basedOn w:val="BodyText"/>
    <w:rsid w:val="00F664CB"/>
    <w:rPr>
      <w:sz w:val="18"/>
    </w:rPr>
  </w:style>
  <w:style w:type="paragraph" w:customStyle="1" w:styleId="BodySmallRight">
    <w:name w:val="Body Small Right"/>
    <w:basedOn w:val="BodyTextRight"/>
    <w:rsid w:val="00F664CB"/>
    <w:rPr>
      <w:sz w:val="18"/>
      <w:szCs w:val="18"/>
    </w:rPr>
  </w:style>
  <w:style w:type="paragraph" w:customStyle="1" w:styleId="MarginEdition">
    <w:name w:val="Margin Edition"/>
    <w:basedOn w:val="MarginNote"/>
    <w:rsid w:val="00F664CB"/>
    <w:pPr>
      <w:spacing w:before="0" w:after="0"/>
    </w:pPr>
    <w:rPr>
      <w:rFonts w:ascii="Times New Roman" w:hAnsi="Times New Roman"/>
      <w:color w:val="999999"/>
    </w:rPr>
  </w:style>
  <w:style w:type="paragraph" w:customStyle="1" w:styleId="Spacer">
    <w:name w:val="Spacer"/>
    <w:basedOn w:val="Normal"/>
    <w:rsid w:val="00F664CB"/>
    <w:rPr>
      <w:sz w:val="2"/>
      <w:szCs w:val="2"/>
    </w:rPr>
  </w:style>
  <w:style w:type="character" w:customStyle="1" w:styleId="Small">
    <w:name w:val="Small"/>
    <w:basedOn w:val="DefaultParagraphFont"/>
    <w:rsid w:val="00F664CB"/>
    <w:rPr>
      <w:sz w:val="16"/>
    </w:rPr>
  </w:style>
  <w:style w:type="paragraph" w:customStyle="1" w:styleId="WideTable">
    <w:name w:val="Wide Table"/>
    <w:basedOn w:val="Normal"/>
    <w:rsid w:val="00F664CB"/>
    <w:pPr>
      <w:ind w:left="-1418"/>
    </w:pPr>
    <w:rPr>
      <w:sz w:val="2"/>
      <w:szCs w:val="2"/>
    </w:rPr>
  </w:style>
  <w:style w:type="character" w:styleId="PageNumber">
    <w:name w:val="page number"/>
    <w:basedOn w:val="DefaultParagraphFont"/>
    <w:rsid w:val="00F664CB"/>
  </w:style>
  <w:style w:type="paragraph" w:styleId="Quote">
    <w:name w:val="Quote"/>
    <w:basedOn w:val="Heading1"/>
    <w:link w:val="QuoteChar"/>
    <w:qFormat/>
    <w:rsid w:val="00F664CB"/>
    <w:rPr>
      <w:b w:val="0"/>
      <w:sz w:val="72"/>
      <w:szCs w:val="72"/>
      <w:lang w:val="en-NZ"/>
    </w:rPr>
  </w:style>
  <w:style w:type="character" w:customStyle="1" w:styleId="QuoteChar">
    <w:name w:val="Quote Char"/>
    <w:basedOn w:val="DefaultParagraphFont"/>
    <w:link w:val="Quote"/>
    <w:rsid w:val="00F664C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664CB"/>
    <w:pPr>
      <w:pageBreakBefore/>
    </w:pPr>
  </w:style>
  <w:style w:type="paragraph" w:customStyle="1" w:styleId="Border">
    <w:name w:val="Border"/>
    <w:basedOn w:val="Normal"/>
    <w:qFormat/>
    <w:rsid w:val="00F664C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664CB"/>
    <w:rPr>
      <w:b/>
      <w:bCs/>
      <w:i/>
      <w:iCs/>
      <w:color w:val="auto"/>
    </w:rPr>
  </w:style>
  <w:style w:type="paragraph" w:styleId="IntenseQuote">
    <w:name w:val="Intense Quote"/>
    <w:basedOn w:val="Normal"/>
    <w:next w:val="Normal"/>
    <w:link w:val="IntenseQuoteChar"/>
    <w:uiPriority w:val="30"/>
    <w:qFormat/>
    <w:rsid w:val="00F664C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664C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664CB"/>
    <w:rPr>
      <w:smallCaps/>
      <w:color w:val="auto"/>
      <w:u w:val="single"/>
    </w:rPr>
  </w:style>
  <w:style w:type="character" w:styleId="IntenseReference">
    <w:name w:val="Intense Reference"/>
    <w:basedOn w:val="DefaultParagraphFont"/>
    <w:uiPriority w:val="32"/>
    <w:qFormat/>
    <w:rsid w:val="00F664CB"/>
    <w:rPr>
      <w:b/>
      <w:bCs/>
      <w:smallCaps/>
      <w:color w:val="auto"/>
      <w:spacing w:val="5"/>
      <w:u w:val="single"/>
    </w:rPr>
  </w:style>
  <w:style w:type="paragraph" w:customStyle="1" w:styleId="2ColumnHeading">
    <w:name w:val="2Column Heading"/>
    <w:basedOn w:val="BodyText"/>
    <w:qFormat/>
    <w:rsid w:val="00F664CB"/>
    <w:pPr>
      <w:spacing w:after="60"/>
      <w:ind w:left="-2268"/>
    </w:pPr>
    <w:rPr>
      <w:b/>
    </w:rPr>
  </w:style>
  <w:style w:type="paragraph" w:customStyle="1" w:styleId="Heading1TOC">
    <w:name w:val="Heading1 TOC"/>
    <w:basedOn w:val="Normal"/>
    <w:qFormat/>
    <w:rsid w:val="00F664CB"/>
    <w:pPr>
      <w:spacing w:before="240" w:after="120"/>
    </w:pPr>
    <w:rPr>
      <w:rFonts w:ascii="Times New Roman" w:hAnsi="Times New Roman"/>
      <w:b/>
      <w:sz w:val="32"/>
    </w:rPr>
  </w:style>
  <w:style w:type="paragraph" w:customStyle="1" w:styleId="Heading2TOC">
    <w:name w:val="Heading2 TOC"/>
    <w:basedOn w:val="Normal"/>
    <w:qFormat/>
    <w:rsid w:val="00F664CB"/>
    <w:pPr>
      <w:spacing w:before="240" w:after="60"/>
    </w:pPr>
    <w:rPr>
      <w:rFonts w:ascii="Times New Roman" w:hAnsi="Times New Roman"/>
      <w:b/>
      <w:sz w:val="28"/>
    </w:rPr>
  </w:style>
  <w:style w:type="character" w:customStyle="1" w:styleId="Underline">
    <w:name w:val="Underline"/>
    <w:basedOn w:val="DefaultParagraphFont"/>
    <w:qFormat/>
    <w:rsid w:val="00F664CB"/>
    <w:rPr>
      <w:u w:val="single"/>
    </w:rPr>
  </w:style>
  <w:style w:type="character" w:customStyle="1" w:styleId="BoldandItalics">
    <w:name w:val="Bold and Italics"/>
    <w:qFormat/>
    <w:rsid w:val="00F664CB"/>
    <w:rPr>
      <w:b/>
      <w:i/>
      <w:u w:val="none"/>
    </w:rPr>
  </w:style>
  <w:style w:type="paragraph" w:styleId="BalloonText">
    <w:name w:val="Balloon Text"/>
    <w:basedOn w:val="Normal"/>
    <w:link w:val="BalloonTextChar"/>
    <w:rsid w:val="00F664CB"/>
    <w:rPr>
      <w:rFonts w:ascii="Tahoma" w:hAnsi="Tahoma" w:cs="Tahoma"/>
      <w:sz w:val="16"/>
      <w:szCs w:val="16"/>
    </w:rPr>
  </w:style>
  <w:style w:type="character" w:customStyle="1" w:styleId="BalloonTextChar">
    <w:name w:val="Balloon Text Char"/>
    <w:basedOn w:val="DefaultParagraphFont"/>
    <w:link w:val="BalloonText"/>
    <w:rsid w:val="00F664C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664C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664C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664CB"/>
    <w:rPr>
      <w:b/>
      <w:color w:val="660033"/>
      <w:spacing w:val="0"/>
    </w:rPr>
  </w:style>
  <w:style w:type="paragraph" w:customStyle="1" w:styleId="Nameditemlist">
    <w:name w:val="Named item list"/>
    <w:basedOn w:val="BodyText"/>
    <w:qFormat/>
    <w:rsid w:val="00F664CB"/>
    <w:pPr>
      <w:tabs>
        <w:tab w:val="left" w:pos="2835"/>
      </w:tabs>
      <w:ind w:left="2835" w:hanging="2835"/>
    </w:pPr>
  </w:style>
  <w:style w:type="paragraph" w:customStyle="1" w:styleId="BodyTextnopadding">
    <w:name w:val="Body Text no padding"/>
    <w:basedOn w:val="BodyText"/>
    <w:qFormat/>
    <w:rsid w:val="00F664CB"/>
    <w:pPr>
      <w:spacing w:before="0" w:after="0"/>
    </w:pPr>
  </w:style>
  <w:style w:type="paragraph" w:customStyle="1" w:styleId="BodyTextBold">
    <w:name w:val="Body Text Bold"/>
    <w:basedOn w:val="BodyText"/>
    <w:qFormat/>
    <w:rsid w:val="00F664CB"/>
    <w:rPr>
      <w:b/>
    </w:rPr>
  </w:style>
  <w:style w:type="character" w:styleId="Hyperlink">
    <w:name w:val="Hyperlink"/>
    <w:basedOn w:val="DefaultParagraphFont"/>
    <w:uiPriority w:val="99"/>
    <w:unhideWhenUsed/>
    <w:rsid w:val="00161C6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741</Words>
  <Characters>5013</Characters>
  <Application>Microsoft Office Word</Application>
  <DocSecurity>0</DocSecurity>
  <Lines>192</Lines>
  <Paragraphs>100</Paragraphs>
  <ScaleCrop>false</ScaleCrop>
  <Company>Author-it Software Corporation Ltd.</Company>
  <LinksUpToDate>false</LinksUpToDate>
  <CharactersWithSpaces>5654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MSFFT4004 Establish and monitor production inventory requirements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2020-05-07T03:04:00Z</dcterms:created>
  <dcterms:modified xsi:type="dcterms:W3CDTF">2020-05-07T03:04:00Z</dcterms:modified>
</cp:coreProperties>
</file>