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3708" w:rsidP="00E93708">
      <w:pPr>
        <w:pStyle w:val="Title"/>
      </w:pPr>
      <w:r>
        <w:fldChar w:fldCharType="begin"/>
      </w:r>
      <w:r>
        <w:instrText xml:space="preserve"> TITLE   \* MERGEFORMAT </w:instrText>
      </w:r>
      <w:r>
        <w:fldChar w:fldCharType="separate"/>
      </w:r>
      <w:r>
        <w:t>MSFFT4001 Coordinate on-site installation of furnishing products</w:t>
      </w:r>
      <w:r>
        <w:fldChar w:fldCharType="end"/>
      </w:r>
    </w:p>
    <w:p w:rsidR="00E93708" w:rsidP="00E93708">
      <w:pPr>
        <w:pStyle w:val="Version"/>
        <w:sectPr w:rsidSect="00333A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3A6F" w:rsidP="00333A6F">
      <w:pPr>
        <w:pStyle w:val="SuperHeading"/>
      </w:pPr>
      <w:r w:rsidRPr="00333A6F">
        <w:t>MSFFT4001 Coordinate on-site installation of furnishing products</w:t>
      </w:r>
    </w:p>
    <w:p w:rsidR="00000000" w:rsidRPr="00333A6F" w:rsidP="00333A6F">
      <w:pPr>
        <w:pStyle w:val="Heading1"/>
      </w:pPr>
      <w:bookmarkStart w:id="1" w:name="O_633257"/>
      <w:bookmarkEnd w:id="1"/>
      <w:r w:rsidRPr="00333A6F">
        <w:t>Modification History</w:t>
      </w:r>
    </w:p>
    <w:p w:rsidR="00000000" w:rsidRPr="00333A6F" w:rsidP="00E93708">
      <w:pPr>
        <w:pStyle w:val="BodyText"/>
      </w:pPr>
      <w:r w:rsidRPr="00333A6F">
        <w:t>Release 1 - New unit of competency</w:t>
      </w:r>
    </w:p>
    <w:p w:rsidR="00000000" w:rsidRPr="00333A6F" w:rsidP="00333A6F">
      <w:pPr>
        <w:pStyle w:val="Heading1"/>
      </w:pPr>
      <w:bookmarkStart w:id="2" w:name="O_633265"/>
      <w:bookmarkEnd w:id="2"/>
      <w:r w:rsidRPr="00333A6F">
        <w:t>Application</w:t>
      </w:r>
    </w:p>
    <w:p w:rsidR="00000000" w:rsidRPr="00333A6F" w:rsidP="00E93708">
      <w:pPr>
        <w:pStyle w:val="BodyText"/>
      </w:pPr>
      <w:r w:rsidRPr="00333A6F">
        <w:t>This unit of competency covers coordinating tradespersons wh</w:t>
      </w:r>
      <w:r w:rsidRPr="00333A6F">
        <w:t>o provide services involved in the installation, refurbishment, restoration or repair of furnishing products, primarily in a kitchen, bathroom or laundry setting.</w:t>
      </w:r>
    </w:p>
    <w:p w:rsidR="00000000" w:rsidRPr="00333A6F" w:rsidP="00E93708">
      <w:pPr>
        <w:pStyle w:val="BodyText"/>
      </w:pPr>
      <w:r w:rsidRPr="00333A6F">
        <w:t>Licensing, legislative or certification requirements may apply to this unit and relevant sta</w:t>
      </w:r>
      <w:r w:rsidRPr="00333A6F">
        <w:t>te/territory and local government agencies should be consulted to determine any necessary certification or licensing for undertaking kitchen and bathroom work. Access to construction sites requires certification of general induction training specified by t</w:t>
      </w:r>
      <w:r w:rsidRPr="00333A6F">
        <w:t xml:space="preserve">he </w:t>
      </w:r>
      <w:r w:rsidRPr="00333A6F">
        <w:rPr>
          <w:rStyle w:val="Emphasis"/>
        </w:rPr>
        <w:t>National Code of Practice for Induction for Construction Work</w:t>
      </w:r>
      <w:r w:rsidRPr="00333A6F">
        <w:t xml:space="preserve"> (ASCC 2007).</w:t>
      </w:r>
    </w:p>
    <w:p w:rsidR="00000000" w:rsidRPr="00333A6F" w:rsidP="00333A6F">
      <w:pPr>
        <w:pStyle w:val="Heading1"/>
      </w:pPr>
      <w:bookmarkStart w:id="3" w:name="O_633264"/>
      <w:bookmarkEnd w:id="3"/>
      <w:r w:rsidRPr="00333A6F">
        <w:t>Pre-requisite Unit</w:t>
      </w:r>
    </w:p>
    <w:p w:rsidR="00000000" w:rsidRPr="00333A6F" w:rsidP="00333A6F">
      <w:pPr>
        <w:pStyle w:val="Heading1"/>
      </w:pPr>
      <w:bookmarkStart w:id="4" w:name="O_633263"/>
      <w:bookmarkEnd w:id="4"/>
      <w:r w:rsidRPr="00333A6F">
        <w:t>Competency Field</w:t>
      </w:r>
    </w:p>
    <w:p w:rsidR="00000000" w:rsidRPr="00333A6F" w:rsidP="00333A6F">
      <w:pPr>
        <w:pStyle w:val="Heading1"/>
      </w:pPr>
      <w:bookmarkStart w:id="5" w:name="O_633262"/>
      <w:bookmarkEnd w:id="5"/>
      <w:r w:rsidRPr="00333A6F">
        <w:t>Unit Sector</w:t>
      </w:r>
    </w:p>
    <w:p w:rsidR="00000000" w:rsidRPr="00333A6F" w:rsidP="00E93708">
      <w:pPr>
        <w:pStyle w:val="BodyText"/>
      </w:pPr>
      <w:r w:rsidRPr="00333A6F">
        <w:t>Furnishing Technology</w:t>
      </w:r>
    </w:p>
    <w:p w:rsidR="00000000" w:rsidRPr="00333A6F" w:rsidP="00333A6F">
      <w:pPr>
        <w:pStyle w:val="Heading1"/>
      </w:pPr>
      <w:bookmarkStart w:id="6" w:name="O_633261"/>
      <w:bookmarkEnd w:id="6"/>
      <w:r w:rsidRPr="00333A6F">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333A6F">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t>Elements</w:t>
            </w:r>
            <w:r w:rsidRPr="00333A6F">
              <w:t xml:space="preserve">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t>Performance criteria describe the performance needed to demonstrate achievement of the element.</w:t>
            </w:r>
          </w:p>
        </w:tc>
      </w:tr>
      <w:tr w:rsidTr="00333A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t>1</w:t>
            </w:r>
          </w:p>
        </w:tc>
        <w:tc>
          <w:tcPr>
            <w:tcW w:w="2185" w:type="dxa"/>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t>Plan the coordination of trade services involved in the project</w:t>
            </w:r>
          </w:p>
        </w:tc>
        <w:tc>
          <w:tcPr>
            <w:tcW w:w="683" w:type="dxa"/>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t>1.1</w:t>
            </w:r>
          </w:p>
        </w:tc>
        <w:tc>
          <w:tcPr>
            <w:tcW w:w="5844" w:type="dxa"/>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t>Work instructions are used to determine job requirements, including design, tolerances, process, materials, finish and quantity</w:t>
            </w:r>
          </w:p>
        </w:tc>
      </w:tr>
      <w:tr w:rsidTr="00333A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t>1.2</w:t>
            </w:r>
          </w:p>
        </w:tc>
        <w:tc>
          <w:tcPr>
            <w:tcW w:w="5844" w:type="dxa"/>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t>Load bearing walls are located</w:t>
            </w:r>
          </w:p>
        </w:tc>
      </w:tr>
      <w:tr w:rsidTr="00333A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t>1.3</w:t>
            </w:r>
          </w:p>
        </w:tc>
        <w:tc>
          <w:tcPr>
            <w:tcW w:w="5844" w:type="dxa"/>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t>Worksite is inspected for compliance with contract documentation, including confirm</w:t>
            </w:r>
            <w:r w:rsidRPr="00333A6F">
              <w:t>ation that all work can be undertaken as a non-structural improvement</w:t>
            </w:r>
          </w:p>
        </w:tc>
      </w:tr>
      <w:tr w:rsidTr="00333A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t>1.4</w:t>
            </w:r>
          </w:p>
        </w:tc>
        <w:tc>
          <w:tcPr>
            <w:tcW w:w="5844" w:type="dxa"/>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t>Additional information or revised drawings are sourced where necessary</w:t>
            </w:r>
          </w:p>
        </w:tc>
      </w:tr>
      <w:tr w:rsidTr="00333A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t>1.5</w:t>
            </w:r>
          </w:p>
        </w:tc>
        <w:tc>
          <w:tcPr>
            <w:tcW w:w="5844" w:type="dxa"/>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t>Tradespersons are identified for the required installing services</w:t>
            </w:r>
          </w:p>
        </w:tc>
      </w:tr>
      <w:tr w:rsidTr="00333A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t>1.6</w:t>
            </w:r>
          </w:p>
        </w:tc>
        <w:tc>
          <w:tcPr>
            <w:tcW w:w="5844" w:type="dxa"/>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t>Timeframes for carrying out the work are developed</w:t>
            </w:r>
          </w:p>
        </w:tc>
      </w:tr>
      <w:tr w:rsidTr="00333A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t>2</w:t>
            </w:r>
          </w:p>
        </w:tc>
        <w:tc>
          <w:tcPr>
            <w:tcW w:w="2185" w:type="dxa"/>
            <w:vMerge w:val="restart"/>
            <w:tcBorders>
              <w:top w:val="nil"/>
              <w:left w:val="nil"/>
              <w:bottom w:val="nil"/>
              <w:right w:val="nil"/>
            </w:tcBorders>
            <w:tcMar>
              <w:top w:w="0" w:type="dxa"/>
              <w:left w:w="62" w:type="dxa"/>
              <w:bottom w:w="0" w:type="dxa"/>
              <w:right w:w="62" w:type="dxa"/>
            </w:tcMar>
          </w:tcPr>
          <w:p w:rsidR="00000000" w:rsidRPr="00333A6F" w:rsidP="00333A6F">
            <w:pPr>
              <w:pStyle w:val="BodyText"/>
            </w:pPr>
            <w:r w:rsidRPr="00333A6F">
              <w:t>Coordinate and inspect trade service outcomes</w:t>
            </w:r>
          </w:p>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t>2.1</w:t>
            </w:r>
          </w:p>
        </w:tc>
        <w:tc>
          <w:tcPr>
            <w:tcW w:w="5844" w:type="dxa"/>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t>Appropriate trade services are coordinated in accordance with relevant timeframes</w:t>
            </w:r>
          </w:p>
        </w:tc>
      </w:tr>
      <w:tr w:rsidTr="00333A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t>2.2</w:t>
            </w:r>
          </w:p>
        </w:tc>
        <w:tc>
          <w:tcPr>
            <w:tcW w:w="5844" w:type="dxa"/>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t>The impact of any variations are assessed and timeframes are varied as necessary</w:t>
            </w:r>
          </w:p>
        </w:tc>
      </w:tr>
      <w:tr w:rsidTr="00333A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t>2.3</w:t>
            </w:r>
          </w:p>
        </w:tc>
        <w:tc>
          <w:tcPr>
            <w:tcW w:w="5844" w:type="dxa"/>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t>Trade works are progressively checked to ensure compliance with contract documentation</w:t>
            </w:r>
          </w:p>
        </w:tc>
      </w:tr>
      <w:tr w:rsidTr="00333A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t>2.4</w:t>
            </w:r>
          </w:p>
        </w:tc>
        <w:tc>
          <w:tcPr>
            <w:tcW w:w="5844" w:type="dxa"/>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t>Satisfactory performance of trade services carried out by trade provider is monitored</w:t>
            </w:r>
          </w:p>
        </w:tc>
      </w:tr>
      <w:tr w:rsidTr="00333A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t>2.5</w:t>
            </w:r>
          </w:p>
        </w:tc>
        <w:tc>
          <w:tcPr>
            <w:tcW w:w="5844" w:type="dxa"/>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t>The rectification of identified faults is organised and coordinated</w:t>
            </w:r>
          </w:p>
        </w:tc>
      </w:tr>
      <w:tr w:rsidTr="00333A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t>2.6</w:t>
            </w:r>
          </w:p>
        </w:tc>
        <w:tc>
          <w:tcPr>
            <w:tcW w:w="5844" w:type="dxa"/>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t>The restoration of the site is coordinated to ensure compliance with contractual and ind</w:t>
            </w:r>
            <w:r w:rsidRPr="00333A6F">
              <w:t>ustry standards</w:t>
            </w:r>
          </w:p>
        </w:tc>
      </w:tr>
      <w:tr w:rsidTr="00333A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t>3</w:t>
            </w:r>
          </w:p>
        </w:tc>
        <w:tc>
          <w:tcPr>
            <w:tcW w:w="2185" w:type="dxa"/>
            <w:vMerge w:val="restart"/>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t>Verify trade work compliance with contract requirements</w:t>
            </w:r>
          </w:p>
        </w:tc>
        <w:tc>
          <w:tcPr>
            <w:tcW w:w="683" w:type="dxa"/>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t>3.1</w:t>
            </w:r>
          </w:p>
        </w:tc>
        <w:tc>
          <w:tcPr>
            <w:tcW w:w="5844" w:type="dxa"/>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t>Final trade work is inspected, assessed and accepted or rejected</w:t>
            </w:r>
          </w:p>
        </w:tc>
      </w:tr>
      <w:tr w:rsidTr="00333A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t>3.2</w:t>
            </w:r>
          </w:p>
        </w:tc>
        <w:tc>
          <w:tcPr>
            <w:tcW w:w="5844" w:type="dxa"/>
            <w:tcBorders>
              <w:top w:val="nil"/>
              <w:left w:val="nil"/>
              <w:bottom w:val="nil"/>
              <w:right w:val="nil"/>
            </w:tcBorders>
            <w:tcMar>
              <w:top w:w="0" w:type="dxa"/>
              <w:left w:w="62" w:type="dxa"/>
              <w:bottom w:w="0" w:type="dxa"/>
              <w:right w:w="62" w:type="dxa"/>
            </w:tcMar>
          </w:tcPr>
          <w:p w:rsidR="00000000" w:rsidRPr="00333A6F" w:rsidP="00333A6F">
            <w:pPr>
              <w:pStyle w:val="BodyText"/>
            </w:pPr>
            <w:r w:rsidRPr="00333A6F">
              <w:t>Payments for accepted trade services are authorised</w:t>
            </w:r>
          </w:p>
        </w:tc>
      </w:tr>
    </w:tbl>
    <w:p w:rsidR="00000000" w:rsidRPr="00333A6F" w:rsidP="00333A6F">
      <w:pPr>
        <w:pStyle w:val="BodyText"/>
      </w:pPr>
    </w:p>
    <w:p w:rsidR="00000000" w:rsidRPr="00333A6F" w:rsidP="00333A6F">
      <w:pPr>
        <w:pStyle w:val="AllowPageBreak"/>
      </w:pPr>
    </w:p>
    <w:p w:rsidR="00000000" w:rsidRPr="00333A6F" w:rsidP="00333A6F">
      <w:pPr>
        <w:pStyle w:val="Heading1"/>
      </w:pPr>
      <w:bookmarkStart w:id="7" w:name="O_633260"/>
      <w:bookmarkEnd w:id="7"/>
      <w:r w:rsidRPr="00333A6F">
        <w:t>Foundation Skills</w:t>
      </w:r>
    </w:p>
    <w:p w:rsidR="00000000" w:rsidRPr="00333A6F" w:rsidP="00E93708">
      <w:pPr>
        <w:pStyle w:val="BodyText"/>
      </w:pPr>
      <w:r w:rsidRPr="00333A6F">
        <w:t>Foundation skills essential to performance are explicit in the performance criteria of this unit of competency. Detail on appropriate performance levels for each furnishing unit of competency in reading, writing, oral communication and numeracy utilising t</w:t>
      </w:r>
      <w:r w:rsidRPr="00333A6F">
        <w:t>he Australian Core Skills Framework (ACSF) are provided in the Furnishing Training Package Implementation Guide.</w:t>
      </w:r>
    </w:p>
    <w:p w:rsidR="00000000" w:rsidRPr="00333A6F" w:rsidP="00333A6F">
      <w:pPr>
        <w:pStyle w:val="Heading1"/>
      </w:pPr>
      <w:bookmarkStart w:id="8" w:name="O_633259"/>
      <w:bookmarkEnd w:id="8"/>
      <w:r w:rsidRPr="00333A6F">
        <w:t>Range of Conditions</w:t>
      </w:r>
    </w:p>
    <w:tbl>
      <w:tblPr>
        <w:tblW w:w="0" w:type="auto"/>
        <w:tblLayout w:type="fixed"/>
        <w:tblCellMar>
          <w:left w:w="62" w:type="dxa"/>
          <w:right w:w="62" w:type="dxa"/>
        </w:tblCellMar>
        <w:tblLook w:val="0000"/>
      </w:tblPr>
      <w:tblGrid>
        <w:gridCol w:w="2760"/>
        <w:gridCol w:w="6312"/>
      </w:tblGrid>
      <w:tr w:rsidTr="00333A6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t>Specifies different work environments and conditions that may affect performance. Essential operating cond</w:t>
            </w:r>
            <w:r w:rsidRPr="00333A6F">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333A6F">
              <w:t xml:space="preserve">to the </w:t>
            </w:r>
            <w:r w:rsidRPr="00333A6F">
              <w:t>work environment.</w:t>
            </w:r>
          </w:p>
        </w:tc>
      </w:tr>
      <w:tr w:rsidTr="00333A6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33A6F" w:rsidP="00333A6F">
            <w:pPr>
              <w:pStyle w:val="ListBullet"/>
            </w:pPr>
            <w:r w:rsidRPr="00333A6F">
              <w:t xml:space="preserve">work health and safety (WHS) requirements, including legislation, building codes, material safety management systems, hazardous and dangerous goods codes and local safe operating procedures or equivalent </w:t>
            </w:r>
          </w:p>
          <w:p w:rsidR="00000000" w:rsidRPr="00333A6F" w:rsidP="00333A6F">
            <w:pPr>
              <w:pStyle w:val="ListBullet"/>
            </w:pPr>
            <w:r w:rsidRPr="00333A6F">
              <w:t xml:space="preserve">work is carried out in accordance with legislative obligations, environmental legislation, relevant health regulations, manual handling procedures and organisation insurance requirements </w:t>
            </w:r>
          </w:p>
          <w:p w:rsidR="00000000" w:rsidP="00333A6F">
            <w:pPr>
              <w:pStyle w:val="ListBullet"/>
              <w:rPr>
                <w:lang w:val="en-NZ"/>
              </w:rPr>
            </w:pPr>
            <w:r w:rsidRPr="00333A6F">
              <w:t>work requires individuals to demonstrate discretion, judgement and p</w:t>
            </w:r>
            <w:r w:rsidRPr="00333A6F">
              <w:t xml:space="preserve">roblem solving </w:t>
            </w:r>
          </w:p>
        </w:tc>
      </w:tr>
      <w:tr w:rsidTr="00333A6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rPr>
                <w:rStyle w:val="SpecialBold"/>
              </w:rPr>
              <w:t>Furnishing installation processes include:</w:t>
            </w:r>
          </w:p>
        </w:tc>
        <w:tc>
          <w:tcPr>
            <w:tcW w:w="6312" w:type="dxa"/>
            <w:tcBorders>
              <w:top w:val="nil"/>
              <w:left w:val="nil"/>
              <w:bottom w:val="nil"/>
              <w:right w:val="nil"/>
            </w:tcBorders>
            <w:tcMar>
              <w:top w:w="0" w:type="dxa"/>
              <w:left w:w="62" w:type="dxa"/>
              <w:bottom w:w="0" w:type="dxa"/>
              <w:right w:w="62" w:type="dxa"/>
            </w:tcMar>
          </w:tcPr>
          <w:p w:rsidR="00000000" w:rsidRPr="00333A6F" w:rsidP="00333A6F">
            <w:pPr>
              <w:pStyle w:val="ListBullet"/>
            </w:pPr>
            <w:r w:rsidRPr="00333A6F">
              <w:t>cabinets and the full range of products required in the installation</w:t>
            </w:r>
          </w:p>
          <w:p w:rsidR="00000000" w:rsidP="00333A6F">
            <w:pPr>
              <w:pStyle w:val="ListBullet"/>
              <w:rPr>
                <w:lang w:val="en-NZ"/>
              </w:rPr>
            </w:pPr>
            <w:r w:rsidRPr="00333A6F">
              <w:t>refurbishment, restoration or repair of furnishing, particularly in kitchens, bathrooms or laundries</w:t>
            </w:r>
          </w:p>
        </w:tc>
      </w:tr>
      <w:tr w:rsidTr="00333A6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rPr>
                <w:rStyle w:val="SpecialBold"/>
              </w:rPr>
              <w:t>Coordinated tradesperson</w:t>
            </w:r>
            <w:r w:rsidRPr="00333A6F">
              <w:rPr>
                <w:rStyle w:val="SpecialBold"/>
              </w:rPr>
              <w:t xml:space="preserve">s include: </w:t>
            </w:r>
          </w:p>
        </w:tc>
        <w:tc>
          <w:tcPr>
            <w:tcW w:w="6312" w:type="dxa"/>
            <w:tcBorders>
              <w:top w:val="nil"/>
              <w:left w:val="nil"/>
              <w:bottom w:val="nil"/>
              <w:right w:val="nil"/>
            </w:tcBorders>
            <w:tcMar>
              <w:top w:w="0" w:type="dxa"/>
              <w:left w:w="62" w:type="dxa"/>
              <w:bottom w:w="0" w:type="dxa"/>
              <w:right w:w="62" w:type="dxa"/>
            </w:tcMar>
          </w:tcPr>
          <w:p w:rsidR="00000000" w:rsidRPr="00333A6F" w:rsidP="00333A6F">
            <w:pPr>
              <w:pStyle w:val="ListBullet"/>
            </w:pPr>
            <w:r w:rsidRPr="00333A6F">
              <w:t>those who, by regulation and competency, have the authority to work on:</w:t>
            </w:r>
          </w:p>
          <w:p w:rsidR="00000000" w:rsidRPr="00333A6F" w:rsidP="00333A6F">
            <w:pPr>
              <w:pStyle w:val="ListBullet2"/>
            </w:pPr>
            <w:r w:rsidRPr="00333A6F">
              <w:t>water supply</w:t>
            </w:r>
          </w:p>
          <w:p w:rsidR="00000000" w:rsidRPr="00333A6F" w:rsidP="00333A6F">
            <w:pPr>
              <w:pStyle w:val="ListBullet2"/>
            </w:pPr>
            <w:r w:rsidRPr="00333A6F">
              <w:t>fixtures and fittings</w:t>
            </w:r>
          </w:p>
          <w:p w:rsidR="00000000" w:rsidRPr="00333A6F" w:rsidP="00333A6F">
            <w:pPr>
              <w:pStyle w:val="ListBullet2"/>
            </w:pPr>
            <w:r w:rsidRPr="00333A6F">
              <w:t>drainage</w:t>
            </w:r>
          </w:p>
          <w:p w:rsidR="00000000" w:rsidRPr="00333A6F" w:rsidP="00333A6F">
            <w:pPr>
              <w:pStyle w:val="ListBullet2"/>
            </w:pPr>
            <w:r w:rsidRPr="00333A6F">
              <w:t>natural and artificial lighting</w:t>
            </w:r>
          </w:p>
          <w:p w:rsidR="00000000" w:rsidRPr="00333A6F" w:rsidP="00333A6F">
            <w:pPr>
              <w:pStyle w:val="ListBullet2"/>
            </w:pPr>
            <w:r w:rsidRPr="00333A6F">
              <w:t>power sources</w:t>
            </w:r>
          </w:p>
          <w:p w:rsidR="00000000" w:rsidRPr="00333A6F" w:rsidP="00333A6F">
            <w:pPr>
              <w:pStyle w:val="ListBullet2"/>
            </w:pPr>
            <w:r w:rsidRPr="00333A6F">
              <w:t>ceiling and wall linings</w:t>
            </w:r>
          </w:p>
          <w:p w:rsidR="00000000" w:rsidRPr="00333A6F" w:rsidP="00333A6F">
            <w:pPr>
              <w:pStyle w:val="ListBullet2"/>
            </w:pPr>
            <w:r w:rsidRPr="00333A6F">
              <w:t>waterproofing and sealants</w:t>
            </w:r>
          </w:p>
          <w:p w:rsidR="00000000" w:rsidRPr="00333A6F" w:rsidP="00333A6F">
            <w:pPr>
              <w:pStyle w:val="ListBullet2"/>
            </w:pPr>
            <w:r w:rsidRPr="00333A6F">
              <w:t>ceramic tiling</w:t>
            </w:r>
          </w:p>
          <w:p w:rsidR="00000000" w:rsidRPr="00333A6F" w:rsidP="00333A6F">
            <w:pPr>
              <w:pStyle w:val="ListBullet2"/>
            </w:pPr>
            <w:r w:rsidRPr="00333A6F">
              <w:t>interior painting</w:t>
            </w:r>
          </w:p>
          <w:p w:rsidR="00000000" w:rsidP="00333A6F">
            <w:pPr>
              <w:pStyle w:val="ListBullet2"/>
              <w:rPr>
                <w:lang w:val="en-NZ"/>
              </w:rPr>
            </w:pPr>
            <w:r w:rsidRPr="00333A6F">
              <w:t>floor/finish coverings</w:t>
            </w:r>
          </w:p>
        </w:tc>
      </w:tr>
      <w:tr w:rsidTr="00333A6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333A6F">
            <w:pPr>
              <w:pStyle w:val="ListBullet"/>
              <w:rPr>
                <w:lang w:val="en-NZ"/>
              </w:rPr>
            </w:pPr>
            <w:r w:rsidRPr="00333A6F">
              <w:t xml:space="preserve">that prescribed under legislation, regulations and enterprise policies and practices </w:t>
            </w:r>
          </w:p>
        </w:tc>
      </w:tr>
      <w:tr w:rsidTr="00333A6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3A6F">
            <w:pPr>
              <w:pStyle w:val="BodyText"/>
              <w:rPr>
                <w:lang w:val="en-NZ"/>
              </w:rPr>
            </w:pPr>
            <w:r w:rsidRPr="00333A6F">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333A6F" w:rsidP="00333A6F">
            <w:pPr>
              <w:pStyle w:val="ListBullet"/>
            </w:pPr>
            <w:r w:rsidRPr="00333A6F">
              <w:t xml:space="preserve">contractual documents and explanatory notes </w:t>
            </w:r>
          </w:p>
          <w:p w:rsidR="00000000" w:rsidRPr="00333A6F" w:rsidP="00333A6F">
            <w:pPr>
              <w:pStyle w:val="ListBullet"/>
            </w:pPr>
            <w:r w:rsidRPr="00333A6F">
              <w:t xml:space="preserve">building codes, Australian Standards and CSIRO Notes on the Science of Building </w:t>
            </w:r>
          </w:p>
          <w:p w:rsidR="00000000" w:rsidRPr="00333A6F" w:rsidP="00333A6F">
            <w:pPr>
              <w:pStyle w:val="ListBullet"/>
            </w:pPr>
            <w:r w:rsidRPr="00333A6F">
              <w:t xml:space="preserve">workplace procedures relating to the use of tools and equipment </w:t>
            </w:r>
          </w:p>
          <w:p w:rsidR="00000000" w:rsidRPr="00333A6F" w:rsidP="00333A6F">
            <w:pPr>
              <w:pStyle w:val="ListBullet"/>
            </w:pPr>
            <w:r w:rsidRPr="00333A6F">
              <w:t xml:space="preserve">work instructions, including job sheets, cutting lists, plans, drawings and designs </w:t>
            </w:r>
          </w:p>
          <w:p w:rsidR="00000000" w:rsidRPr="00333A6F" w:rsidP="00333A6F">
            <w:pPr>
              <w:pStyle w:val="ListBullet"/>
            </w:pPr>
            <w:r w:rsidRPr="00333A6F">
              <w:t>workplace procedures rela</w:t>
            </w:r>
            <w:r w:rsidRPr="00333A6F">
              <w:t xml:space="preserve">ting to reporting and communication </w:t>
            </w:r>
          </w:p>
          <w:p w:rsidR="00000000" w:rsidRPr="00333A6F" w:rsidP="00333A6F">
            <w:pPr>
              <w:pStyle w:val="ListBullet"/>
            </w:pPr>
            <w:r w:rsidRPr="00333A6F">
              <w:t>manufacturer specifications and operational procedures</w:t>
            </w:r>
          </w:p>
        </w:tc>
      </w:tr>
    </w:tbl>
    <w:p w:rsidR="00000000" w:rsidRPr="00333A6F" w:rsidP="00333A6F">
      <w:pPr>
        <w:pStyle w:val="BodyText"/>
      </w:pPr>
    </w:p>
    <w:p w:rsidR="00000000" w:rsidRPr="00333A6F" w:rsidP="00333A6F">
      <w:pPr>
        <w:pStyle w:val="AllowPageBreak"/>
      </w:pPr>
    </w:p>
    <w:p w:rsidR="00000000" w:rsidRPr="00333A6F" w:rsidP="00333A6F">
      <w:pPr>
        <w:pStyle w:val="Heading1"/>
      </w:pPr>
      <w:bookmarkStart w:id="9" w:name="O_633258"/>
      <w:bookmarkEnd w:id="9"/>
      <w:r w:rsidRPr="00333A6F">
        <w:t>Unit Mapping Information</w:t>
      </w:r>
    </w:p>
    <w:p w:rsidR="00000000" w:rsidRPr="00333A6F" w:rsidP="00E93708">
      <w:pPr>
        <w:pStyle w:val="BodyText"/>
      </w:pPr>
      <w:r w:rsidRPr="00333A6F">
        <w:t>Supersedes and is equivalent to LMFFT4001B Coordinate on-site installation of furnishing products.</w:t>
      </w:r>
    </w:p>
    <w:p w:rsidR="00000000" w:rsidRPr="00333A6F" w:rsidP="00333A6F">
      <w:pPr>
        <w:pStyle w:val="Heading1"/>
      </w:pPr>
      <w:bookmarkStart w:id="10" w:name="O_633251"/>
      <w:bookmarkEnd w:id="10"/>
      <w:r w:rsidRPr="00333A6F">
        <w:t>Links</w:t>
      </w:r>
    </w:p>
    <w:p w:rsidR="00000000" w:rsidRPr="00333A6F" w:rsidP="00E93708">
      <w:pPr>
        <w:pStyle w:val="BodyText"/>
      </w:pPr>
      <w:r w:rsidRPr="00333A6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90A71">
        <w:rPr>
          <w:rStyle w:val="Hyperlink"/>
        </w:rPr>
        <w:t>https://vetnet.gov.au/Pages/TrainingDocs.aspx?q=0601ab95-583a-4e93-b2d4-cfb27b03ed73</w:t>
      </w:r>
      <w:r>
        <w:fldChar w:fldCharType="end"/>
      </w:r>
    </w:p>
    <w:p w:rsidR="00000000" w:rsidRPr="00333A6F" w:rsidP="00333A6F"/>
    <w:sectPr w:rsidSect="00333A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A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A6F" w:rsidRPr="00E93708" w:rsidP="00E937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A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708" w:rsidP="00333A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3708" w:rsidP="00333A6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93708" w:rsidP="00333A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A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7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3A6F" w:rsidRPr="00E93708" w:rsidP="00E937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A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708" w:rsidRPr="002D2AF8" w:rsidP="00333A6F">
    <w:pPr>
      <w:pStyle w:val="Header"/>
      <w:framePr w:wrap="around"/>
    </w:pPr>
    <w:r>
      <w:fldChar w:fldCharType="begin"/>
    </w:r>
    <w:r>
      <w:instrText xml:space="preserve"> TITLE   \* MERGEFORMAT </w:instrText>
    </w:r>
    <w:r>
      <w:fldChar w:fldCharType="separate"/>
    </w:r>
    <w:r>
      <w:t>MSFFT4001 Coordinate on-site installation of furnishing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E93708" w:rsidP="00333A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64B1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8A7D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2007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A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3A6F"/>
    <w:pPr>
      <w:spacing w:before="360" w:after="60"/>
      <w:outlineLvl w:val="0"/>
    </w:pPr>
    <w:rPr>
      <w:sz w:val="32"/>
    </w:rPr>
  </w:style>
  <w:style w:type="paragraph" w:styleId="Heading2">
    <w:name w:val="heading 2"/>
    <w:basedOn w:val="HeadingBase"/>
    <w:next w:val="BodyText"/>
    <w:link w:val="Heading2Char"/>
    <w:qFormat/>
    <w:rsid w:val="00333A6F"/>
    <w:pPr>
      <w:keepLines/>
      <w:spacing w:before="240" w:after="120"/>
      <w:outlineLvl w:val="1"/>
    </w:pPr>
    <w:rPr>
      <w:sz w:val="28"/>
      <w:szCs w:val="40"/>
    </w:rPr>
  </w:style>
  <w:style w:type="paragraph" w:styleId="Heading3">
    <w:name w:val="heading 3"/>
    <w:basedOn w:val="HeadingBase"/>
    <w:next w:val="BodyText"/>
    <w:link w:val="Heading3Char"/>
    <w:qFormat/>
    <w:rsid w:val="00333A6F"/>
    <w:pPr>
      <w:spacing w:before="180" w:after="120"/>
      <w:outlineLvl w:val="2"/>
    </w:pPr>
    <w:rPr>
      <w:spacing w:val="-10"/>
      <w:kern w:val="32"/>
    </w:rPr>
  </w:style>
  <w:style w:type="paragraph" w:styleId="Heading4">
    <w:name w:val="heading 4"/>
    <w:basedOn w:val="HeadingBase"/>
    <w:next w:val="BodyText"/>
    <w:link w:val="Heading4Char"/>
    <w:qFormat/>
    <w:rsid w:val="00333A6F"/>
    <w:pPr>
      <w:spacing w:before="160" w:after="120"/>
      <w:outlineLvl w:val="3"/>
    </w:pPr>
    <w:rPr>
      <w:sz w:val="22"/>
    </w:rPr>
  </w:style>
  <w:style w:type="paragraph" w:styleId="Heading5">
    <w:name w:val="heading 5"/>
    <w:basedOn w:val="HeadingBase"/>
    <w:next w:val="Normal"/>
    <w:link w:val="Heading5Char"/>
    <w:qFormat/>
    <w:rsid w:val="00333A6F"/>
    <w:pPr>
      <w:spacing w:before="80"/>
      <w:outlineLvl w:val="4"/>
    </w:pPr>
    <w:rPr>
      <w:color w:val="918585"/>
      <w:sz w:val="20"/>
    </w:rPr>
  </w:style>
  <w:style w:type="paragraph" w:styleId="Heading6">
    <w:name w:val="heading 6"/>
    <w:basedOn w:val="HeadingBase"/>
    <w:next w:val="Normal"/>
    <w:link w:val="Heading6Char"/>
    <w:qFormat/>
    <w:rsid w:val="00333A6F"/>
    <w:pPr>
      <w:spacing w:before="60"/>
      <w:outlineLvl w:val="5"/>
    </w:pPr>
    <w:rPr>
      <w:color w:val="918585"/>
      <w:sz w:val="20"/>
    </w:rPr>
  </w:style>
  <w:style w:type="paragraph" w:styleId="Heading7">
    <w:name w:val="heading 7"/>
    <w:basedOn w:val="Normal"/>
    <w:next w:val="Normal"/>
    <w:link w:val="Heading7Char"/>
    <w:qFormat/>
    <w:rsid w:val="00333A6F"/>
    <w:pPr>
      <w:ind w:left="720"/>
      <w:outlineLvl w:val="6"/>
    </w:pPr>
    <w:rPr>
      <w:i/>
    </w:rPr>
  </w:style>
  <w:style w:type="paragraph" w:styleId="Heading8">
    <w:name w:val="heading 8"/>
    <w:basedOn w:val="Normal"/>
    <w:next w:val="Normal"/>
    <w:link w:val="Heading8Char"/>
    <w:qFormat/>
    <w:rsid w:val="00333A6F"/>
    <w:pPr>
      <w:ind w:left="720"/>
      <w:outlineLvl w:val="7"/>
    </w:pPr>
    <w:rPr>
      <w:i/>
    </w:rPr>
  </w:style>
  <w:style w:type="paragraph" w:styleId="Heading9">
    <w:name w:val="heading 9"/>
    <w:basedOn w:val="Normal"/>
    <w:next w:val="Normal"/>
    <w:link w:val="Heading9Char"/>
    <w:qFormat/>
    <w:rsid w:val="00333A6F"/>
    <w:pPr>
      <w:ind w:left="720"/>
      <w:outlineLvl w:val="8"/>
    </w:pPr>
    <w:rPr>
      <w:i/>
    </w:rPr>
  </w:style>
  <w:style w:type="character" w:default="1" w:styleId="DefaultParagraphFont">
    <w:name w:val="Default Paragraph Font"/>
    <w:uiPriority w:val="1"/>
    <w:unhideWhenUsed/>
    <w:rsid w:val="00333A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3A6F"/>
  </w:style>
  <w:style w:type="character" w:customStyle="1" w:styleId="Heading1Char">
    <w:name w:val="Heading 1 Char"/>
    <w:basedOn w:val="DefaultParagraphFont"/>
    <w:link w:val="Heading1"/>
    <w:rsid w:val="00333A6F"/>
    <w:rPr>
      <w:rFonts w:ascii="Times New Roman" w:eastAsia="Times New Roman" w:hAnsi="Times New Roman" w:cs="Times New Roman"/>
      <w:b/>
      <w:sz w:val="32"/>
      <w:szCs w:val="20"/>
      <w:lang w:eastAsia="en-US"/>
    </w:rPr>
  </w:style>
  <w:style w:type="paragraph" w:styleId="BodyText">
    <w:name w:val="Body Text"/>
    <w:basedOn w:val="Normal"/>
    <w:link w:val="BodyTextChar"/>
    <w:rsid w:val="00333A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3A6F"/>
    <w:rPr>
      <w:rFonts w:ascii="Times New Roman" w:eastAsia="Times New Roman" w:hAnsi="Times New Roman" w:cs="Times New Roman"/>
      <w:sz w:val="24"/>
      <w:lang w:eastAsia="en-US"/>
    </w:rPr>
  </w:style>
  <w:style w:type="paragraph" w:styleId="ListBullet">
    <w:name w:val="List Bullet"/>
    <w:basedOn w:val="List"/>
    <w:rsid w:val="00333A6F"/>
    <w:pPr>
      <w:numPr>
        <w:numId w:val="12"/>
      </w:numPr>
      <w:tabs>
        <w:tab w:val="clear" w:pos="340"/>
      </w:tabs>
      <w:spacing w:before="40" w:after="40"/>
    </w:pPr>
  </w:style>
  <w:style w:type="character" w:customStyle="1" w:styleId="SpecialBold">
    <w:name w:val="Special Bold"/>
    <w:basedOn w:val="DefaultParagraphFont"/>
    <w:rsid w:val="00333A6F"/>
    <w:rPr>
      <w:b/>
      <w:spacing w:val="0"/>
    </w:rPr>
  </w:style>
  <w:style w:type="paragraph" w:styleId="ListBullet2">
    <w:name w:val="List Bullet 2"/>
    <w:basedOn w:val="List2"/>
    <w:rsid w:val="00333A6F"/>
    <w:pPr>
      <w:numPr>
        <w:numId w:val="13"/>
      </w:numPr>
      <w:tabs>
        <w:tab w:val="clear" w:pos="680"/>
      </w:tabs>
    </w:pPr>
  </w:style>
  <w:style w:type="character" w:styleId="Emphasis">
    <w:name w:val="Emphasis"/>
    <w:basedOn w:val="DefaultParagraphFont"/>
    <w:qFormat/>
    <w:rsid w:val="00333A6F"/>
    <w:rPr>
      <w:i/>
    </w:rPr>
  </w:style>
  <w:style w:type="paragraph" w:customStyle="1" w:styleId="SuperHeading">
    <w:name w:val="SuperHeading"/>
    <w:basedOn w:val="Normal"/>
    <w:rsid w:val="00333A6F"/>
    <w:pPr>
      <w:spacing w:before="240" w:after="120"/>
      <w:outlineLvl w:val="0"/>
    </w:pPr>
    <w:rPr>
      <w:rFonts w:ascii="Times New Roman" w:hAnsi="Times New Roman"/>
      <w:b/>
      <w:sz w:val="32"/>
    </w:rPr>
  </w:style>
  <w:style w:type="paragraph" w:customStyle="1" w:styleId="AllowPageBreak">
    <w:name w:val="AllowPageBreak"/>
    <w:rsid w:val="00333A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3A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3A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3A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3A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3A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3A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3A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3A6F"/>
    <w:rPr>
      <w:rFonts w:ascii="Courier New" w:eastAsia="Times New Roman" w:hAnsi="Courier New" w:cs="Times New Roman"/>
      <w:i/>
      <w:szCs w:val="20"/>
      <w:lang w:eastAsia="en-US"/>
    </w:rPr>
  </w:style>
  <w:style w:type="paragraph" w:customStyle="1" w:styleId="HeadingBase">
    <w:name w:val="Heading Base"/>
    <w:rsid w:val="00333A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3A6F"/>
    <w:pPr>
      <w:tabs>
        <w:tab w:val="right" w:leader="dot" w:pos="9072"/>
      </w:tabs>
      <w:ind w:left="567"/>
    </w:pPr>
    <w:rPr>
      <w:szCs w:val="22"/>
    </w:rPr>
  </w:style>
  <w:style w:type="paragraph" w:customStyle="1" w:styleId="TOCBase">
    <w:name w:val="TOC Base"/>
    <w:rsid w:val="00333A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3A6F"/>
    <w:pPr>
      <w:tabs>
        <w:tab w:val="right" w:leader="dot" w:pos="9072"/>
      </w:tabs>
      <w:spacing w:before="40" w:after="40"/>
      <w:ind w:left="284"/>
    </w:pPr>
    <w:rPr>
      <w:rFonts w:ascii="Times New Roman" w:hAnsi="Times New Roman"/>
    </w:rPr>
  </w:style>
  <w:style w:type="paragraph" w:styleId="TOC1">
    <w:name w:val="toc 1"/>
    <w:basedOn w:val="TOCBase"/>
    <w:next w:val="Normal"/>
    <w:rsid w:val="00333A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3A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3A6F"/>
    <w:rPr>
      <w:rFonts w:ascii="Times New Roman" w:eastAsia="Times New Roman" w:hAnsi="Times New Roman" w:cs="Times New Roman"/>
      <w:sz w:val="16"/>
      <w:lang w:eastAsia="en-US"/>
    </w:rPr>
  </w:style>
  <w:style w:type="paragraph" w:styleId="Title">
    <w:name w:val="Title"/>
    <w:basedOn w:val="HeadingBase"/>
    <w:link w:val="TitleChar"/>
    <w:qFormat/>
    <w:rsid w:val="00333A6F"/>
    <w:pPr>
      <w:spacing w:before="5040"/>
      <w:jc w:val="center"/>
    </w:pPr>
    <w:rPr>
      <w:sz w:val="48"/>
      <w:szCs w:val="72"/>
      <w:lang w:val="en-US"/>
    </w:rPr>
  </w:style>
  <w:style w:type="character" w:customStyle="1" w:styleId="TitleChar">
    <w:name w:val="Title Char"/>
    <w:basedOn w:val="DefaultParagraphFont"/>
    <w:link w:val="Title"/>
    <w:rsid w:val="00333A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3A6F"/>
    <w:pPr>
      <w:tabs>
        <w:tab w:val="left" w:pos="3600"/>
        <w:tab w:val="left" w:pos="3958"/>
      </w:tabs>
    </w:pPr>
  </w:style>
  <w:style w:type="paragraph" w:styleId="List">
    <w:name w:val="List"/>
    <w:basedOn w:val="BodyText"/>
    <w:next w:val="BodyText"/>
    <w:rsid w:val="00333A6F"/>
    <w:pPr>
      <w:tabs>
        <w:tab w:val="left" w:pos="340"/>
      </w:tabs>
      <w:spacing w:before="60" w:after="60"/>
      <w:ind w:left="340" w:hanging="340"/>
    </w:pPr>
  </w:style>
  <w:style w:type="paragraph" w:customStyle="1" w:styleId="Note">
    <w:name w:val="Note"/>
    <w:basedOn w:val="BodyText"/>
    <w:rsid w:val="00333A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3A6F"/>
    <w:pPr>
      <w:framePr w:wrap="auto" w:hAnchor="text" w:y="6049"/>
    </w:pPr>
    <w:rPr>
      <w:color w:val="000000"/>
      <w:sz w:val="40"/>
    </w:rPr>
  </w:style>
  <w:style w:type="paragraph" w:customStyle="1" w:styleId="TOCTitle">
    <w:name w:val="TOCTitle"/>
    <w:basedOn w:val="Heading1"/>
    <w:rsid w:val="00333A6F"/>
    <w:pPr>
      <w:spacing w:after="240"/>
      <w:jc w:val="center"/>
      <w:outlineLvl w:val="9"/>
    </w:pPr>
    <w:rPr>
      <w:caps/>
    </w:rPr>
  </w:style>
  <w:style w:type="paragraph" w:customStyle="1" w:styleId="Version">
    <w:name w:val="Version"/>
    <w:rsid w:val="00333A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3A6F"/>
    <w:pPr>
      <w:keepNext w:val="0"/>
      <w:tabs>
        <w:tab w:val="right" w:pos="4176"/>
      </w:tabs>
      <w:ind w:left="198" w:hanging="198"/>
    </w:pPr>
    <w:rPr>
      <w:rFonts w:ascii="Garamond" w:hAnsi="Garamond"/>
    </w:rPr>
  </w:style>
  <w:style w:type="paragraph" w:styleId="IndexHeading">
    <w:name w:val="index heading"/>
    <w:basedOn w:val="Normal"/>
    <w:next w:val="Index1"/>
    <w:semiHidden/>
    <w:rsid w:val="00333A6F"/>
    <w:pPr>
      <w:spacing w:before="120" w:after="120"/>
    </w:pPr>
    <w:rPr>
      <w:rFonts w:ascii="Arial" w:hAnsi="Arial"/>
      <w:b/>
      <w:color w:val="918585"/>
      <w:sz w:val="24"/>
    </w:rPr>
  </w:style>
  <w:style w:type="paragraph" w:styleId="Header">
    <w:name w:val="header"/>
    <w:basedOn w:val="Normal"/>
    <w:link w:val="HeaderChar"/>
    <w:rsid w:val="00333A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3A6F"/>
    <w:rPr>
      <w:rFonts w:ascii="Times New Roman" w:eastAsia="Times New Roman" w:hAnsi="Times New Roman" w:cs="Times New Roman"/>
      <w:sz w:val="16"/>
      <w:szCs w:val="20"/>
      <w:lang w:val="en-GB" w:eastAsia="en-US"/>
    </w:rPr>
  </w:style>
  <w:style w:type="paragraph" w:customStyle="1" w:styleId="Chapter">
    <w:name w:val="Chapter"/>
    <w:basedOn w:val="Normal"/>
    <w:rsid w:val="00333A6F"/>
    <w:pPr>
      <w:spacing w:before="240"/>
    </w:pPr>
    <w:rPr>
      <w:rFonts w:ascii="Times New Roman" w:hAnsi="Times New Roman"/>
      <w:smallCaps/>
      <w:spacing w:val="80"/>
      <w:sz w:val="28"/>
    </w:rPr>
  </w:style>
  <w:style w:type="paragraph" w:customStyle="1" w:styleId="InChapter">
    <w:name w:val="InChapter"/>
    <w:basedOn w:val="Heading3"/>
    <w:rsid w:val="00333A6F"/>
    <w:pPr>
      <w:spacing w:after="240"/>
      <w:outlineLvl w:val="9"/>
    </w:pPr>
    <w:rPr>
      <w:noProof/>
    </w:rPr>
  </w:style>
  <w:style w:type="paragraph" w:styleId="Index2">
    <w:name w:val="index 2"/>
    <w:basedOn w:val="Normal"/>
    <w:next w:val="Normal"/>
    <w:semiHidden/>
    <w:rsid w:val="00333A6F"/>
    <w:pPr>
      <w:tabs>
        <w:tab w:val="right" w:pos="4176"/>
      </w:tabs>
      <w:ind w:left="568" w:hanging="284"/>
    </w:pPr>
    <w:rPr>
      <w:rFonts w:ascii="Garamond" w:hAnsi="Garamond"/>
    </w:rPr>
  </w:style>
  <w:style w:type="paragraph" w:customStyle="1" w:styleId="Byline">
    <w:name w:val="Byline"/>
    <w:rsid w:val="00333A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3A6F"/>
    <w:pPr>
      <w:tabs>
        <w:tab w:val="clear" w:pos="3600"/>
        <w:tab w:val="clear" w:pos="3958"/>
      </w:tabs>
      <w:jc w:val="right"/>
    </w:pPr>
  </w:style>
  <w:style w:type="paragraph" w:styleId="Caption">
    <w:name w:val="caption"/>
    <w:basedOn w:val="BodyText"/>
    <w:next w:val="Normal"/>
    <w:qFormat/>
    <w:rsid w:val="00333A6F"/>
    <w:pPr>
      <w:framePr w:w="2268" w:hSpace="181" w:vSpace="181" w:wrap="around" w:vAnchor="text" w:hAnchor="page" w:x="1135" w:y="285" w:anchorLock="1"/>
    </w:pPr>
    <w:rPr>
      <w:i/>
    </w:rPr>
  </w:style>
  <w:style w:type="paragraph" w:customStyle="1" w:styleId="MiniTOCTitle">
    <w:name w:val="MiniTOCTitle"/>
    <w:basedOn w:val="Heading4"/>
    <w:rsid w:val="00333A6F"/>
    <w:pPr>
      <w:spacing w:before="240"/>
      <w:outlineLvl w:val="9"/>
    </w:pPr>
    <w:rPr>
      <w:noProof/>
      <w:sz w:val="24"/>
    </w:rPr>
  </w:style>
  <w:style w:type="paragraph" w:customStyle="1" w:styleId="MiniTOCItem">
    <w:name w:val="MiniTOCItem"/>
    <w:basedOn w:val="ListBullet"/>
    <w:rsid w:val="00333A6F"/>
    <w:pPr>
      <w:numPr>
        <w:numId w:val="0"/>
      </w:numPr>
      <w:tabs>
        <w:tab w:val="right" w:leader="dot" w:pos="6521"/>
      </w:tabs>
      <w:spacing w:before="0" w:after="0"/>
    </w:pPr>
  </w:style>
  <w:style w:type="paragraph" w:customStyle="1" w:styleId="TOFTitle">
    <w:name w:val="TOFTitle"/>
    <w:basedOn w:val="TOCTitle"/>
    <w:rsid w:val="00333A6F"/>
  </w:style>
  <w:style w:type="paragraph" w:styleId="TableofFigures">
    <w:name w:val="table of figures"/>
    <w:basedOn w:val="Normal"/>
    <w:next w:val="Normal"/>
    <w:semiHidden/>
    <w:rsid w:val="00333A6F"/>
    <w:pPr>
      <w:tabs>
        <w:tab w:val="right" w:leader="dot" w:pos="9072"/>
      </w:tabs>
      <w:ind w:left="970" w:hanging="403"/>
    </w:pPr>
    <w:rPr>
      <w:rFonts w:ascii="Times New Roman" w:hAnsi="Times New Roman"/>
      <w:b/>
    </w:rPr>
  </w:style>
  <w:style w:type="paragraph" w:styleId="ListNumber">
    <w:name w:val="List Number"/>
    <w:basedOn w:val="List"/>
    <w:rsid w:val="00333A6F"/>
    <w:pPr>
      <w:numPr>
        <w:numId w:val="15"/>
      </w:numPr>
      <w:tabs>
        <w:tab w:val="clear" w:pos="340"/>
      </w:tabs>
    </w:pPr>
  </w:style>
  <w:style w:type="character" w:customStyle="1" w:styleId="WingdingSymbols">
    <w:name w:val="Wingding Symbols"/>
    <w:rsid w:val="00333A6F"/>
    <w:rPr>
      <w:rFonts w:ascii="Wingdings" w:hAnsi="Wingdings"/>
    </w:rPr>
  </w:style>
  <w:style w:type="paragraph" w:customStyle="1" w:styleId="TableHeading">
    <w:name w:val="Table Heading"/>
    <w:basedOn w:val="HeadingBase"/>
    <w:rsid w:val="00333A6F"/>
    <w:pPr>
      <w:keepLines/>
      <w:pBdr>
        <w:bottom w:val="single" w:sz="6" w:space="1" w:color="918585"/>
      </w:pBdr>
      <w:spacing w:before="240"/>
    </w:pPr>
  </w:style>
  <w:style w:type="character" w:customStyle="1" w:styleId="HotSpot">
    <w:name w:val="HotSpot"/>
    <w:rsid w:val="00333A6F"/>
    <w:rPr>
      <w:color w:val="0033CC"/>
      <w:u w:val="none"/>
    </w:rPr>
  </w:style>
  <w:style w:type="paragraph" w:customStyle="1" w:styleId="BodyTextRight">
    <w:name w:val="Body Text Right"/>
    <w:basedOn w:val="BodyText"/>
    <w:rsid w:val="00333A6F"/>
    <w:pPr>
      <w:spacing w:before="0" w:after="0"/>
      <w:jc w:val="right"/>
    </w:pPr>
  </w:style>
  <w:style w:type="paragraph" w:styleId="Index3">
    <w:name w:val="index 3"/>
    <w:basedOn w:val="ListNumber2"/>
    <w:next w:val="Normal"/>
    <w:semiHidden/>
    <w:rsid w:val="00333A6F"/>
    <w:pPr>
      <w:numPr>
        <w:numId w:val="0"/>
      </w:numPr>
      <w:tabs>
        <w:tab w:val="right" w:leader="dot" w:pos="4176"/>
      </w:tabs>
    </w:pPr>
  </w:style>
  <w:style w:type="paragraph" w:styleId="ListNumber2">
    <w:name w:val="List Number 2"/>
    <w:basedOn w:val="List2"/>
    <w:rsid w:val="00333A6F"/>
    <w:pPr>
      <w:numPr>
        <w:numId w:val="10"/>
      </w:numPr>
      <w:tabs>
        <w:tab w:val="clear" w:pos="1060"/>
      </w:tabs>
    </w:pPr>
  </w:style>
  <w:style w:type="paragraph" w:customStyle="1" w:styleId="MarginNote">
    <w:name w:val="Margin Note"/>
    <w:basedOn w:val="BodyText"/>
    <w:rsid w:val="00333A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3A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3A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3A6F"/>
    <w:rPr>
      <w:sz w:val="32"/>
    </w:rPr>
  </w:style>
  <w:style w:type="paragraph" w:customStyle="1" w:styleId="HeadingProcedure">
    <w:name w:val="Heading Procedure"/>
    <w:basedOn w:val="HeadingBase"/>
    <w:next w:val="Normal"/>
    <w:rsid w:val="00333A6F"/>
    <w:pPr>
      <w:tabs>
        <w:tab w:val="left" w:pos="0"/>
      </w:tabs>
      <w:spacing w:before="120" w:after="60"/>
    </w:pPr>
    <w:rPr>
      <w:i/>
      <w:color w:val="918585"/>
      <w:sz w:val="22"/>
    </w:rPr>
  </w:style>
  <w:style w:type="paragraph" w:customStyle="1" w:styleId="TableBodyText">
    <w:name w:val="Table Body Text"/>
    <w:basedOn w:val="BodyText"/>
    <w:rsid w:val="00333A6F"/>
    <w:pPr>
      <w:spacing w:before="60" w:after="60"/>
    </w:pPr>
  </w:style>
  <w:style w:type="paragraph" w:styleId="ListContinue">
    <w:name w:val="List Continue"/>
    <w:basedOn w:val="List"/>
    <w:rsid w:val="00333A6F"/>
    <w:pPr>
      <w:ind w:firstLine="0"/>
    </w:pPr>
  </w:style>
  <w:style w:type="paragraph" w:customStyle="1" w:styleId="ListNote">
    <w:name w:val="List Note"/>
    <w:basedOn w:val="List"/>
    <w:rsid w:val="00333A6F"/>
    <w:pPr>
      <w:pBdr>
        <w:top w:val="single" w:sz="6" w:space="2" w:color="918585"/>
        <w:bottom w:val="single" w:sz="6" w:space="2" w:color="918585"/>
      </w:pBdr>
      <w:tabs>
        <w:tab w:val="left" w:pos="1021"/>
      </w:tabs>
      <w:ind w:firstLine="0"/>
    </w:pPr>
  </w:style>
  <w:style w:type="paragraph" w:customStyle="1" w:styleId="Warning">
    <w:name w:val="Warning"/>
    <w:basedOn w:val="BodyText"/>
    <w:rsid w:val="00333A6F"/>
    <w:pPr>
      <w:shd w:val="clear" w:color="auto" w:fill="D9D9D9"/>
      <w:tabs>
        <w:tab w:val="left" w:pos="992"/>
      </w:tabs>
      <w:ind w:left="119" w:right="119"/>
    </w:pPr>
    <w:rPr>
      <w:sz w:val="20"/>
    </w:rPr>
  </w:style>
  <w:style w:type="paragraph" w:customStyle="1" w:styleId="MarginIcons">
    <w:name w:val="Margin Icons"/>
    <w:basedOn w:val="BodyText"/>
    <w:rsid w:val="00333A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3A6F"/>
    <w:rPr>
      <w:rFonts w:ascii="Courier New" w:hAnsi="Courier New"/>
    </w:rPr>
  </w:style>
  <w:style w:type="paragraph" w:customStyle="1" w:styleId="NoteBullet">
    <w:name w:val="Note Bullet"/>
    <w:basedOn w:val="Note"/>
    <w:rsid w:val="00333A6F"/>
    <w:pPr>
      <w:tabs>
        <w:tab w:val="clear" w:pos="680"/>
      </w:tabs>
      <w:spacing w:before="60" w:after="60"/>
    </w:pPr>
  </w:style>
  <w:style w:type="paragraph" w:customStyle="1" w:styleId="SubHeading2">
    <w:name w:val="SubHeading2"/>
    <w:basedOn w:val="HeadingBase"/>
    <w:rsid w:val="00333A6F"/>
    <w:pPr>
      <w:spacing w:before="240" w:after="60"/>
    </w:pPr>
    <w:rPr>
      <w:sz w:val="20"/>
    </w:rPr>
  </w:style>
  <w:style w:type="paragraph" w:customStyle="1" w:styleId="SubHeading1">
    <w:name w:val="SubHeading1"/>
    <w:basedOn w:val="HeadingBase"/>
    <w:rsid w:val="00333A6F"/>
    <w:pPr>
      <w:spacing w:before="240" w:after="60"/>
    </w:pPr>
    <w:rPr>
      <w:color w:val="918585"/>
      <w:sz w:val="22"/>
    </w:rPr>
  </w:style>
  <w:style w:type="paragraph" w:customStyle="1" w:styleId="SideHeading">
    <w:name w:val="Side Heading"/>
    <w:basedOn w:val="HeadingBase"/>
    <w:rsid w:val="00333A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3A6F"/>
    <w:pPr>
      <w:tabs>
        <w:tab w:val="num" w:pos="360"/>
      </w:tabs>
    </w:pPr>
  </w:style>
  <w:style w:type="paragraph" w:styleId="PlainText">
    <w:name w:val="Plain Text"/>
    <w:basedOn w:val="Normal"/>
    <w:link w:val="PlainTextChar"/>
    <w:rsid w:val="00333A6F"/>
    <w:rPr>
      <w:sz w:val="20"/>
    </w:rPr>
  </w:style>
  <w:style w:type="character" w:customStyle="1" w:styleId="PlainTextChar">
    <w:name w:val="Plain Text Char"/>
    <w:basedOn w:val="DefaultParagraphFont"/>
    <w:link w:val="PlainText"/>
    <w:rsid w:val="00333A6F"/>
    <w:rPr>
      <w:rFonts w:ascii="Courier New" w:eastAsia="Times New Roman" w:hAnsi="Courier New" w:cs="Times New Roman"/>
      <w:sz w:val="20"/>
      <w:szCs w:val="20"/>
      <w:lang w:eastAsia="en-US"/>
    </w:rPr>
  </w:style>
  <w:style w:type="character" w:customStyle="1" w:styleId="MenuOption">
    <w:name w:val="Menu Option"/>
    <w:basedOn w:val="DefaultParagraphFont"/>
    <w:rsid w:val="00333A6F"/>
    <w:rPr>
      <w:b/>
      <w:smallCaps/>
    </w:rPr>
  </w:style>
  <w:style w:type="paragraph" w:customStyle="1" w:styleId="TableListNumber">
    <w:name w:val="Table List Number"/>
    <w:basedOn w:val="ListNumber"/>
    <w:rsid w:val="00333A6F"/>
    <w:pPr>
      <w:numPr>
        <w:numId w:val="0"/>
      </w:numPr>
    </w:pPr>
  </w:style>
  <w:style w:type="paragraph" w:styleId="TOC4">
    <w:name w:val="toc 4"/>
    <w:basedOn w:val="TOCBase"/>
    <w:next w:val="Normal"/>
    <w:semiHidden/>
    <w:rsid w:val="00333A6F"/>
    <w:pPr>
      <w:tabs>
        <w:tab w:val="right" w:leader="dot" w:pos="9071"/>
      </w:tabs>
      <w:ind w:left="1701"/>
    </w:pPr>
  </w:style>
  <w:style w:type="paragraph" w:customStyle="1" w:styleId="ListAlpha">
    <w:name w:val="List Alpha"/>
    <w:basedOn w:val="List"/>
    <w:rsid w:val="00333A6F"/>
    <w:pPr>
      <w:numPr>
        <w:numId w:val="9"/>
      </w:numPr>
    </w:pPr>
  </w:style>
  <w:style w:type="paragraph" w:customStyle="1" w:styleId="ListAlpha2">
    <w:name w:val="List Alpha 2"/>
    <w:basedOn w:val="List2"/>
    <w:rsid w:val="00333A6F"/>
    <w:pPr>
      <w:numPr>
        <w:numId w:val="8"/>
      </w:numPr>
    </w:pPr>
  </w:style>
  <w:style w:type="paragraph" w:styleId="List2">
    <w:name w:val="List 2"/>
    <w:basedOn w:val="BodyText"/>
    <w:rsid w:val="00333A6F"/>
    <w:pPr>
      <w:tabs>
        <w:tab w:val="left" w:pos="680"/>
      </w:tabs>
      <w:spacing w:before="60" w:after="60"/>
      <w:ind w:left="680" w:hanging="340"/>
    </w:pPr>
  </w:style>
  <w:style w:type="paragraph" w:styleId="List3">
    <w:name w:val="List 3"/>
    <w:basedOn w:val="BodyText"/>
    <w:rsid w:val="00333A6F"/>
    <w:pPr>
      <w:tabs>
        <w:tab w:val="left" w:pos="1021"/>
      </w:tabs>
      <w:spacing w:before="60" w:after="60"/>
      <w:ind w:left="1020" w:hanging="340"/>
    </w:pPr>
  </w:style>
  <w:style w:type="paragraph" w:styleId="List4">
    <w:name w:val="List 4"/>
    <w:basedOn w:val="BodyText"/>
    <w:rsid w:val="00333A6F"/>
    <w:pPr>
      <w:tabs>
        <w:tab w:val="left" w:pos="1361"/>
      </w:tabs>
      <w:spacing w:before="60" w:after="60"/>
      <w:ind w:left="1361" w:hanging="340"/>
    </w:pPr>
  </w:style>
  <w:style w:type="paragraph" w:styleId="List5">
    <w:name w:val="List 5"/>
    <w:basedOn w:val="BodyText"/>
    <w:rsid w:val="00333A6F"/>
    <w:pPr>
      <w:tabs>
        <w:tab w:val="left" w:pos="1701"/>
      </w:tabs>
      <w:spacing w:before="60" w:after="60"/>
      <w:ind w:left="1701" w:hanging="340"/>
    </w:pPr>
  </w:style>
  <w:style w:type="paragraph" w:styleId="ListBullet3">
    <w:name w:val="List Bullet 3"/>
    <w:basedOn w:val="List3"/>
    <w:rsid w:val="00333A6F"/>
    <w:pPr>
      <w:numPr>
        <w:numId w:val="14"/>
      </w:numPr>
      <w:tabs>
        <w:tab w:val="clear" w:pos="1021"/>
      </w:tabs>
      <w:ind w:left="1037" w:hanging="357"/>
    </w:pPr>
  </w:style>
  <w:style w:type="paragraph" w:styleId="ListBullet4">
    <w:name w:val="List Bullet 4"/>
    <w:basedOn w:val="List4"/>
    <w:rsid w:val="00333A6F"/>
    <w:pPr>
      <w:numPr>
        <w:numId w:val="3"/>
      </w:numPr>
      <w:tabs>
        <w:tab w:val="clear" w:pos="1361"/>
      </w:tabs>
    </w:pPr>
  </w:style>
  <w:style w:type="paragraph" w:styleId="ListBullet5">
    <w:name w:val="List Bullet 5"/>
    <w:basedOn w:val="List5"/>
    <w:rsid w:val="00333A6F"/>
    <w:pPr>
      <w:numPr>
        <w:numId w:val="4"/>
      </w:numPr>
    </w:pPr>
  </w:style>
  <w:style w:type="paragraph" w:styleId="ListContinue2">
    <w:name w:val="List Continue 2"/>
    <w:basedOn w:val="List2"/>
    <w:rsid w:val="00333A6F"/>
    <w:pPr>
      <w:ind w:firstLine="0"/>
    </w:pPr>
  </w:style>
  <w:style w:type="paragraph" w:styleId="ListContinue3">
    <w:name w:val="List Continue 3"/>
    <w:basedOn w:val="List3"/>
    <w:rsid w:val="00333A6F"/>
    <w:pPr>
      <w:ind w:left="1021" w:firstLine="0"/>
    </w:pPr>
  </w:style>
  <w:style w:type="paragraph" w:styleId="ListContinue4">
    <w:name w:val="List Continue 4"/>
    <w:basedOn w:val="List4"/>
    <w:rsid w:val="00333A6F"/>
    <w:pPr>
      <w:ind w:firstLine="0"/>
    </w:pPr>
  </w:style>
  <w:style w:type="paragraph" w:styleId="ListContinue5">
    <w:name w:val="List Continue 5"/>
    <w:basedOn w:val="List5"/>
    <w:rsid w:val="00333A6F"/>
    <w:pPr>
      <w:ind w:firstLine="0"/>
    </w:pPr>
  </w:style>
  <w:style w:type="paragraph" w:styleId="ListNumber3">
    <w:name w:val="List Number 3"/>
    <w:basedOn w:val="List3"/>
    <w:rsid w:val="00333A6F"/>
    <w:pPr>
      <w:numPr>
        <w:numId w:val="5"/>
      </w:numPr>
    </w:pPr>
  </w:style>
  <w:style w:type="paragraph" w:styleId="ListNumber4">
    <w:name w:val="List Number 4"/>
    <w:basedOn w:val="List4"/>
    <w:rsid w:val="00333A6F"/>
    <w:pPr>
      <w:numPr>
        <w:numId w:val="6"/>
      </w:numPr>
    </w:pPr>
  </w:style>
  <w:style w:type="paragraph" w:styleId="ListNumber5">
    <w:name w:val="List Number 5"/>
    <w:basedOn w:val="List5"/>
    <w:rsid w:val="00333A6F"/>
    <w:pPr>
      <w:numPr>
        <w:numId w:val="7"/>
      </w:numPr>
    </w:pPr>
  </w:style>
  <w:style w:type="paragraph" w:styleId="BlockText">
    <w:name w:val="Block Text"/>
    <w:basedOn w:val="Normal"/>
    <w:rsid w:val="00333A6F"/>
    <w:pPr>
      <w:spacing w:after="120"/>
      <w:ind w:left="1440" w:right="1440"/>
    </w:pPr>
  </w:style>
  <w:style w:type="character" w:customStyle="1" w:styleId="Subscript">
    <w:name w:val="Subscript"/>
    <w:basedOn w:val="DefaultParagraphFont"/>
    <w:rsid w:val="00333A6F"/>
    <w:rPr>
      <w:sz w:val="16"/>
      <w:vertAlign w:val="subscript"/>
    </w:rPr>
  </w:style>
  <w:style w:type="character" w:customStyle="1" w:styleId="Superscript">
    <w:name w:val="Superscript"/>
    <w:basedOn w:val="DefaultParagraphFont"/>
    <w:rsid w:val="00333A6F"/>
    <w:rPr>
      <w:sz w:val="16"/>
      <w:vertAlign w:val="superscript"/>
    </w:rPr>
  </w:style>
  <w:style w:type="character" w:customStyle="1" w:styleId="Symbols">
    <w:name w:val="Symbols"/>
    <w:basedOn w:val="DefaultParagraphFont"/>
    <w:rsid w:val="00333A6F"/>
    <w:rPr>
      <w:rFonts w:ascii="Symbol" w:hAnsi="Symbol"/>
    </w:rPr>
  </w:style>
  <w:style w:type="character" w:customStyle="1" w:styleId="MenuOptions">
    <w:name w:val="Menu Options"/>
    <w:basedOn w:val="DefaultParagraphFont"/>
    <w:rsid w:val="00333A6F"/>
    <w:rPr>
      <w:rFonts w:ascii="Arial Narrow" w:hAnsi="Arial Narrow"/>
      <w:smallCaps/>
    </w:rPr>
  </w:style>
  <w:style w:type="character" w:customStyle="1" w:styleId="Buttons">
    <w:name w:val="Buttons"/>
    <w:basedOn w:val="DefaultParagraphFont"/>
    <w:rsid w:val="00333A6F"/>
    <w:rPr>
      <w:b/>
    </w:rPr>
  </w:style>
  <w:style w:type="character" w:customStyle="1" w:styleId="Underlined">
    <w:name w:val="Underlined"/>
    <w:basedOn w:val="DefaultParagraphFont"/>
    <w:rsid w:val="00333A6F"/>
    <w:rPr>
      <w:u w:val="single"/>
    </w:rPr>
  </w:style>
  <w:style w:type="paragraph" w:customStyle="1" w:styleId="TableBodyTextRight">
    <w:name w:val="Table Body Text Right"/>
    <w:basedOn w:val="TableBodyText"/>
    <w:rsid w:val="00333A6F"/>
    <w:pPr>
      <w:widowControl w:val="0"/>
      <w:autoSpaceDE w:val="0"/>
      <w:autoSpaceDN w:val="0"/>
      <w:adjustRightInd w:val="0"/>
      <w:jc w:val="right"/>
    </w:pPr>
    <w:rPr>
      <w:rFonts w:cs="Arial"/>
      <w:szCs w:val="18"/>
    </w:rPr>
  </w:style>
  <w:style w:type="paragraph" w:customStyle="1" w:styleId="CopyrightText">
    <w:name w:val="Copyright Text"/>
    <w:basedOn w:val="BodyText"/>
    <w:rsid w:val="00333A6F"/>
    <w:rPr>
      <w:sz w:val="18"/>
    </w:rPr>
  </w:style>
  <w:style w:type="paragraph" w:customStyle="1" w:styleId="BodySmallRight">
    <w:name w:val="Body Small Right"/>
    <w:basedOn w:val="BodyTextRight"/>
    <w:rsid w:val="00333A6F"/>
    <w:rPr>
      <w:sz w:val="18"/>
      <w:szCs w:val="18"/>
    </w:rPr>
  </w:style>
  <w:style w:type="paragraph" w:customStyle="1" w:styleId="MarginEdition">
    <w:name w:val="Margin Edition"/>
    <w:basedOn w:val="MarginNote"/>
    <w:rsid w:val="00333A6F"/>
    <w:pPr>
      <w:spacing w:before="0" w:after="0"/>
    </w:pPr>
    <w:rPr>
      <w:rFonts w:ascii="Times New Roman" w:hAnsi="Times New Roman"/>
      <w:color w:val="999999"/>
    </w:rPr>
  </w:style>
  <w:style w:type="paragraph" w:customStyle="1" w:styleId="Spacer">
    <w:name w:val="Spacer"/>
    <w:basedOn w:val="Normal"/>
    <w:rsid w:val="00333A6F"/>
    <w:rPr>
      <w:sz w:val="2"/>
      <w:szCs w:val="2"/>
    </w:rPr>
  </w:style>
  <w:style w:type="character" w:customStyle="1" w:styleId="Small">
    <w:name w:val="Small"/>
    <w:basedOn w:val="DefaultParagraphFont"/>
    <w:rsid w:val="00333A6F"/>
    <w:rPr>
      <w:sz w:val="16"/>
    </w:rPr>
  </w:style>
  <w:style w:type="paragraph" w:customStyle="1" w:styleId="WideTable">
    <w:name w:val="Wide Table"/>
    <w:basedOn w:val="Normal"/>
    <w:rsid w:val="00333A6F"/>
    <w:pPr>
      <w:ind w:left="-1418"/>
    </w:pPr>
    <w:rPr>
      <w:sz w:val="2"/>
      <w:szCs w:val="2"/>
    </w:rPr>
  </w:style>
  <w:style w:type="character" w:styleId="PageNumber">
    <w:name w:val="page number"/>
    <w:basedOn w:val="DefaultParagraphFont"/>
    <w:rsid w:val="00333A6F"/>
  </w:style>
  <w:style w:type="paragraph" w:styleId="Quote">
    <w:name w:val="Quote"/>
    <w:basedOn w:val="Heading1"/>
    <w:link w:val="QuoteChar"/>
    <w:qFormat/>
    <w:rsid w:val="00333A6F"/>
    <w:rPr>
      <w:b w:val="0"/>
      <w:sz w:val="72"/>
      <w:szCs w:val="72"/>
      <w:lang w:val="en-NZ"/>
    </w:rPr>
  </w:style>
  <w:style w:type="character" w:customStyle="1" w:styleId="QuoteChar">
    <w:name w:val="Quote Char"/>
    <w:basedOn w:val="DefaultParagraphFont"/>
    <w:link w:val="Quote"/>
    <w:rsid w:val="00333A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3A6F"/>
    <w:pPr>
      <w:pageBreakBefore/>
    </w:pPr>
  </w:style>
  <w:style w:type="paragraph" w:customStyle="1" w:styleId="Border">
    <w:name w:val="Border"/>
    <w:basedOn w:val="Normal"/>
    <w:qFormat/>
    <w:rsid w:val="00333A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3A6F"/>
    <w:rPr>
      <w:b/>
      <w:bCs/>
      <w:i/>
      <w:iCs/>
      <w:color w:val="auto"/>
    </w:rPr>
  </w:style>
  <w:style w:type="paragraph" w:styleId="IntenseQuote">
    <w:name w:val="Intense Quote"/>
    <w:basedOn w:val="Normal"/>
    <w:next w:val="Normal"/>
    <w:link w:val="IntenseQuoteChar"/>
    <w:uiPriority w:val="30"/>
    <w:qFormat/>
    <w:rsid w:val="00333A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3A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3A6F"/>
    <w:rPr>
      <w:smallCaps/>
      <w:color w:val="auto"/>
      <w:u w:val="single"/>
    </w:rPr>
  </w:style>
  <w:style w:type="character" w:styleId="IntenseReference">
    <w:name w:val="Intense Reference"/>
    <w:basedOn w:val="DefaultParagraphFont"/>
    <w:uiPriority w:val="32"/>
    <w:qFormat/>
    <w:rsid w:val="00333A6F"/>
    <w:rPr>
      <w:b/>
      <w:bCs/>
      <w:smallCaps/>
      <w:color w:val="auto"/>
      <w:spacing w:val="5"/>
      <w:u w:val="single"/>
    </w:rPr>
  </w:style>
  <w:style w:type="paragraph" w:customStyle="1" w:styleId="2ColumnHeading">
    <w:name w:val="2Column Heading"/>
    <w:basedOn w:val="BodyText"/>
    <w:qFormat/>
    <w:rsid w:val="00333A6F"/>
    <w:pPr>
      <w:spacing w:after="60"/>
      <w:ind w:left="-2268"/>
    </w:pPr>
    <w:rPr>
      <w:b/>
    </w:rPr>
  </w:style>
  <w:style w:type="paragraph" w:customStyle="1" w:styleId="Heading1TOC">
    <w:name w:val="Heading1 TOC"/>
    <w:basedOn w:val="Normal"/>
    <w:qFormat/>
    <w:rsid w:val="00333A6F"/>
    <w:pPr>
      <w:spacing w:before="240" w:after="120"/>
    </w:pPr>
    <w:rPr>
      <w:rFonts w:ascii="Times New Roman" w:hAnsi="Times New Roman"/>
      <w:b/>
      <w:sz w:val="32"/>
    </w:rPr>
  </w:style>
  <w:style w:type="paragraph" w:customStyle="1" w:styleId="Heading2TOC">
    <w:name w:val="Heading2 TOC"/>
    <w:basedOn w:val="Normal"/>
    <w:qFormat/>
    <w:rsid w:val="00333A6F"/>
    <w:pPr>
      <w:spacing w:before="240" w:after="60"/>
    </w:pPr>
    <w:rPr>
      <w:rFonts w:ascii="Times New Roman" w:hAnsi="Times New Roman"/>
      <w:b/>
      <w:sz w:val="28"/>
    </w:rPr>
  </w:style>
  <w:style w:type="character" w:customStyle="1" w:styleId="Underline">
    <w:name w:val="Underline"/>
    <w:basedOn w:val="DefaultParagraphFont"/>
    <w:qFormat/>
    <w:rsid w:val="00333A6F"/>
    <w:rPr>
      <w:u w:val="single"/>
    </w:rPr>
  </w:style>
  <w:style w:type="character" w:customStyle="1" w:styleId="BoldandItalics">
    <w:name w:val="Bold and Italics"/>
    <w:qFormat/>
    <w:rsid w:val="00333A6F"/>
    <w:rPr>
      <w:b/>
      <w:i/>
      <w:u w:val="none"/>
    </w:rPr>
  </w:style>
  <w:style w:type="paragraph" w:styleId="BalloonText">
    <w:name w:val="Balloon Text"/>
    <w:basedOn w:val="Normal"/>
    <w:link w:val="BalloonTextChar"/>
    <w:rsid w:val="00333A6F"/>
    <w:rPr>
      <w:rFonts w:ascii="Tahoma" w:hAnsi="Tahoma" w:cs="Tahoma"/>
      <w:sz w:val="16"/>
      <w:szCs w:val="16"/>
    </w:rPr>
  </w:style>
  <w:style w:type="character" w:customStyle="1" w:styleId="BalloonTextChar">
    <w:name w:val="Balloon Text Char"/>
    <w:basedOn w:val="DefaultParagraphFont"/>
    <w:link w:val="BalloonText"/>
    <w:rsid w:val="00333A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3A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3A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3A6F"/>
    <w:rPr>
      <w:b/>
      <w:color w:val="660033"/>
      <w:spacing w:val="0"/>
    </w:rPr>
  </w:style>
  <w:style w:type="paragraph" w:customStyle="1" w:styleId="Nameditemlist">
    <w:name w:val="Named item list"/>
    <w:basedOn w:val="BodyText"/>
    <w:qFormat/>
    <w:rsid w:val="00333A6F"/>
    <w:pPr>
      <w:tabs>
        <w:tab w:val="left" w:pos="2835"/>
      </w:tabs>
      <w:ind w:left="2835" w:hanging="2835"/>
    </w:pPr>
  </w:style>
  <w:style w:type="paragraph" w:customStyle="1" w:styleId="BodyTextnopadding">
    <w:name w:val="Body Text no padding"/>
    <w:basedOn w:val="BodyText"/>
    <w:qFormat/>
    <w:rsid w:val="00333A6F"/>
    <w:pPr>
      <w:spacing w:before="0" w:after="0"/>
    </w:pPr>
  </w:style>
  <w:style w:type="paragraph" w:customStyle="1" w:styleId="BodyTextBold">
    <w:name w:val="Body Text Bold"/>
    <w:basedOn w:val="BodyText"/>
    <w:qFormat/>
    <w:rsid w:val="00333A6F"/>
    <w:rPr>
      <w:b/>
    </w:rPr>
  </w:style>
  <w:style w:type="character" w:styleId="Hyperlink">
    <w:name w:val="Hyperlink"/>
    <w:basedOn w:val="DefaultParagraphFont"/>
    <w:uiPriority w:val="99"/>
    <w:unhideWhenUsed/>
    <w:rsid w:val="00E937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691</Words>
  <Characters>4625</Characters>
  <Application>Microsoft Office Word</Application>
  <DocSecurity>0</DocSecurity>
  <Lines>192</Lines>
  <Paragraphs>100</Paragraphs>
  <ScaleCrop>false</ScaleCrop>
  <Company>Author-it Software Corporation Ltd.</Company>
  <LinksUpToDate>false</LinksUpToDate>
  <CharactersWithSpaces>5216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MSFFT4001 Coordinate on-site installation of furnishing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2022-06-03T07:54:00Z</dcterms:created>
  <dcterms:modified xsi:type="dcterms:W3CDTF">2022-06-03T07:54:00Z</dcterms:modified>
</cp:coreProperties>
</file>