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D75" w:rsidP="00BC3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MSFFP2018 Source and review information about furnishing product materials</w:t>
      </w:r>
      <w:r>
        <w:fldChar w:fldCharType="end"/>
      </w:r>
    </w:p>
    <w:p w:rsidR="00BC3D75" w:rsidP="00BC3D75">
      <w:pPr>
        <w:pStyle w:val="Version"/>
        <w:sectPr w:rsidSect="00A84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EB0" w:rsidP="00A84EB0">
      <w:pPr>
        <w:pStyle w:val="SuperHeading"/>
      </w:pPr>
      <w:r w:rsidRPr="00A84EB0">
        <w:t>Assessment Requirements for MSFFP2018 Source and review information about furnishing product materials</w:t>
      </w:r>
    </w:p>
    <w:p w:rsidR="00000000" w:rsidRPr="00A84EB0" w:rsidP="00A84EB0">
      <w:pPr>
        <w:pStyle w:val="Heading1"/>
      </w:pPr>
      <w:bookmarkStart w:id="1" w:name="O_1246788"/>
      <w:bookmarkEnd w:id="1"/>
      <w:r w:rsidRPr="00A84EB0">
        <w:t>Modification History</w:t>
      </w:r>
    </w:p>
    <w:p w:rsidR="00BC3D75" w:rsidP="00BC3D75">
      <w:pPr>
        <w:pStyle w:val="BodyText"/>
      </w:pPr>
      <w:r w:rsidRPr="00A84EB0">
        <w:t>Release 1. Changes to code, application, elements, performance criteria, assessment requirements. Foundation skills added. Range of conditions removed. Assessment requirements changed.</w:t>
      </w:r>
    </w:p>
    <w:p w:rsidR="00000000" w:rsidRPr="00A84EB0" w:rsidP="00A84EB0">
      <w:pPr>
        <w:pStyle w:val="Heading1"/>
      </w:pPr>
      <w:bookmarkStart w:id="2" w:name="O_1246789"/>
      <w:bookmarkEnd w:id="2"/>
      <w:r w:rsidRPr="00A84EB0">
        <w:t>Performance Evidence</w:t>
      </w:r>
    </w:p>
    <w:p w:rsidR="00000000" w:rsidRPr="00A84EB0" w:rsidP="00BC3D75">
      <w:pPr>
        <w:pStyle w:val="BodyText"/>
      </w:pPr>
      <w:r w:rsidRPr="00A84EB0">
        <w:t>There must be evidence the can</w:t>
      </w:r>
      <w:r w:rsidRPr="00A84EB0">
        <w:t>didate has completed the tasks outlined in the elements and performance criteria of this unit, and demonstrated the ability to:</w:t>
      </w:r>
    </w:p>
    <w:p w:rsidR="00000000" w:rsidRPr="00A84EB0" w:rsidP="00A84EB0">
      <w:pPr>
        <w:pStyle w:val="ListBullet"/>
      </w:pPr>
      <w:r w:rsidRPr="00A84EB0">
        <w:t>gather and interpret information from at least 3 different sources about 4 materials suitable for specific furnishing productio</w:t>
      </w:r>
      <w:r w:rsidRPr="00A84EB0">
        <w:t>n tasks and, for each material, report on its:</w:t>
      </w:r>
    </w:p>
    <w:p w:rsidR="00000000" w:rsidRPr="00A84EB0" w:rsidP="00A84EB0">
      <w:pPr>
        <w:pStyle w:val="ListBullet2"/>
      </w:pPr>
      <w:r w:rsidRPr="00A84EB0">
        <w:t xml:space="preserve">physical properties </w:t>
      </w:r>
    </w:p>
    <w:p w:rsidR="00000000" w:rsidRPr="00A84EB0" w:rsidP="00A84EB0">
      <w:pPr>
        <w:pStyle w:val="ListBullet2"/>
      </w:pPr>
      <w:r w:rsidRPr="00A84EB0">
        <w:t>cost</w:t>
      </w:r>
    </w:p>
    <w:p w:rsidR="00000000" w:rsidRPr="00A84EB0" w:rsidP="00A84EB0">
      <w:pPr>
        <w:pStyle w:val="ListBullet2"/>
      </w:pPr>
      <w:r w:rsidRPr="00A84EB0">
        <w:t>handling, safety and sustainability considerations</w:t>
      </w:r>
    </w:p>
    <w:p w:rsidR="00BC3D75" w:rsidP="00A84EB0">
      <w:pPr>
        <w:pStyle w:val="ListBullet2"/>
      </w:pPr>
      <w:r w:rsidRPr="00A84EB0">
        <w:t>benefits and limitations in comparison to alternatives.</w:t>
      </w:r>
    </w:p>
    <w:p w:rsidR="00BC3D75" w:rsidP="00A84EB0">
      <w:pPr>
        <w:pStyle w:val="ListBullet2"/>
      </w:pPr>
    </w:p>
    <w:p w:rsidR="00000000" w:rsidRPr="00A84EB0" w:rsidP="00A84EB0">
      <w:pPr>
        <w:pStyle w:val="Heading1"/>
      </w:pPr>
      <w:bookmarkStart w:id="3" w:name="O_1246790"/>
      <w:bookmarkEnd w:id="3"/>
      <w:r w:rsidRPr="00A84EB0">
        <w:t>Knowledge Evidence</w:t>
      </w:r>
    </w:p>
    <w:p w:rsidR="00000000" w:rsidRPr="00A84EB0" w:rsidP="00BC3D75">
      <w:pPr>
        <w:pStyle w:val="BodyText"/>
      </w:pPr>
      <w:r w:rsidRPr="00A84EB0">
        <w:t>There m</w:t>
      </w:r>
      <w:r w:rsidRPr="00A84EB0">
        <w:t>ust be evidence the candidate has knowledge of:</w:t>
      </w:r>
    </w:p>
    <w:p w:rsidR="00000000" w:rsidRPr="00A84EB0" w:rsidP="00A84EB0">
      <w:pPr>
        <w:pStyle w:val="ListBullet"/>
      </w:pPr>
      <w:r w:rsidRPr="00A84EB0">
        <w:t>sources of information about materials</w:t>
      </w:r>
    </w:p>
    <w:p w:rsidR="00000000" w:rsidRPr="00A84EB0" w:rsidP="00A84EB0">
      <w:pPr>
        <w:pStyle w:val="ListBullet"/>
      </w:pPr>
      <w:r w:rsidRPr="00A84EB0">
        <w:t xml:space="preserve">typical material requirements in different furnishing industry sectors, including at least 2 of the following: </w:t>
      </w:r>
    </w:p>
    <w:p w:rsidR="00000000" w:rsidRPr="00A84EB0" w:rsidP="00A84EB0">
      <w:pPr>
        <w:pStyle w:val="ListBullet2"/>
      </w:pPr>
      <w:r w:rsidRPr="00A84EB0">
        <w:t xml:space="preserve">blinds, awnings and security screens </w:t>
      </w:r>
    </w:p>
    <w:p w:rsidR="00000000" w:rsidRPr="00A84EB0" w:rsidP="00A84EB0">
      <w:pPr>
        <w:pStyle w:val="ListBullet2"/>
      </w:pPr>
      <w:r w:rsidRPr="00A84EB0">
        <w:t>cabinet making (k</w:t>
      </w:r>
      <w:r w:rsidRPr="00A84EB0">
        <w:t xml:space="preserve">itchens, bathrooms and built-in fitments) </w:t>
      </w:r>
    </w:p>
    <w:p w:rsidR="00000000" w:rsidRPr="00A84EB0" w:rsidP="00A84EB0">
      <w:pPr>
        <w:pStyle w:val="ListBullet2"/>
      </w:pPr>
      <w:r w:rsidRPr="00A84EB0">
        <w:t xml:space="preserve">design </w:t>
      </w:r>
    </w:p>
    <w:p w:rsidR="00000000" w:rsidRPr="00A84EB0" w:rsidP="00A84EB0">
      <w:pPr>
        <w:pStyle w:val="ListBullet2"/>
      </w:pPr>
      <w:r w:rsidRPr="00A84EB0">
        <w:t xml:space="preserve">furniture making </w:t>
      </w:r>
    </w:p>
    <w:p w:rsidR="00000000" w:rsidRPr="00A84EB0" w:rsidP="00A84EB0">
      <w:pPr>
        <w:pStyle w:val="ListBullet2"/>
      </w:pPr>
      <w:r w:rsidRPr="00A84EB0">
        <w:t xml:space="preserve">furniture finishing  </w:t>
      </w:r>
    </w:p>
    <w:p w:rsidR="00000000" w:rsidRPr="00A84EB0" w:rsidP="00A84EB0">
      <w:pPr>
        <w:pStyle w:val="ListBullet2"/>
      </w:pPr>
      <w:r w:rsidRPr="00A84EB0">
        <w:t xml:space="preserve">flooring technology </w:t>
      </w:r>
    </w:p>
    <w:p w:rsidR="00000000" w:rsidRPr="00A84EB0" w:rsidP="00A84EB0">
      <w:pPr>
        <w:pStyle w:val="ListBullet2"/>
      </w:pPr>
      <w:r w:rsidRPr="00A84EB0">
        <w:t xml:space="preserve">glass and glazing </w:t>
      </w:r>
    </w:p>
    <w:p w:rsidR="00000000" w:rsidRPr="00A84EB0" w:rsidP="00A84EB0">
      <w:pPr>
        <w:pStyle w:val="ListBullet2"/>
      </w:pPr>
      <w:r w:rsidRPr="00A84EB0">
        <w:t xml:space="preserve">picture framing </w:t>
      </w:r>
    </w:p>
    <w:p w:rsidR="00000000" w:rsidRPr="00A84EB0" w:rsidP="00A84EB0">
      <w:pPr>
        <w:pStyle w:val="ListBullet2"/>
      </w:pPr>
      <w:r w:rsidRPr="00A84EB0">
        <w:t xml:space="preserve">soft furnishings </w:t>
      </w:r>
    </w:p>
    <w:p w:rsidR="00000000" w:rsidRPr="00A84EB0" w:rsidP="00A84EB0">
      <w:pPr>
        <w:pStyle w:val="ListBullet2"/>
      </w:pPr>
      <w:r w:rsidRPr="00A84EB0">
        <w:t xml:space="preserve">wood machining </w:t>
      </w:r>
    </w:p>
    <w:p w:rsidR="00000000" w:rsidRPr="00A84EB0" w:rsidP="00A84EB0">
      <w:pPr>
        <w:pStyle w:val="ListBullet2"/>
      </w:pPr>
      <w:r w:rsidRPr="00A84EB0">
        <w:t xml:space="preserve">upholstery </w:t>
      </w:r>
    </w:p>
    <w:p w:rsidR="00000000" w:rsidRPr="00A84EB0" w:rsidP="00A84EB0">
      <w:pPr>
        <w:pStyle w:val="ListBullet"/>
      </w:pPr>
      <w:r w:rsidRPr="00A84EB0">
        <w:t>commonly used materials in fu</w:t>
      </w:r>
      <w:r w:rsidRPr="00A84EB0">
        <w:t>rnishing production, their generic and common trade names, and the types of products in which they are used:</w:t>
      </w:r>
    </w:p>
    <w:p w:rsidR="00000000" w:rsidRPr="00A84EB0" w:rsidP="00A84EB0">
      <w:pPr>
        <w:pStyle w:val="ListBullet2"/>
      </w:pPr>
      <w:r w:rsidRPr="00A84EB0">
        <w:t>timber:</w:t>
      </w:r>
    </w:p>
    <w:p w:rsidR="00000000" w:rsidRPr="00A84EB0" w:rsidP="00A84EB0">
      <w:pPr>
        <w:pStyle w:val="ListBullet3"/>
      </w:pPr>
      <w:r w:rsidRPr="00A84EB0">
        <w:t>hardwood</w:t>
      </w:r>
    </w:p>
    <w:p w:rsidR="00000000" w:rsidRPr="00A84EB0" w:rsidP="00A84EB0">
      <w:pPr>
        <w:pStyle w:val="ListBullet3"/>
      </w:pPr>
      <w:r w:rsidRPr="00A84EB0">
        <w:t>softwood</w:t>
      </w:r>
    </w:p>
    <w:p w:rsidR="00000000" w:rsidRPr="00A84EB0" w:rsidP="00A84EB0">
      <w:pPr>
        <w:pStyle w:val="ListBullet3"/>
      </w:pPr>
      <w:r w:rsidRPr="00A84EB0">
        <w:t>engineered wood product</w:t>
      </w:r>
    </w:p>
    <w:p w:rsidR="00000000" w:rsidRPr="00A84EB0" w:rsidP="00A84EB0">
      <w:pPr>
        <w:pStyle w:val="ListBullet2"/>
      </w:pPr>
      <w:r w:rsidRPr="00A84EB0">
        <w:t>composite materials:</w:t>
      </w:r>
    </w:p>
    <w:p w:rsidR="00000000" w:rsidRPr="00A84EB0" w:rsidP="00A84EB0">
      <w:pPr>
        <w:pStyle w:val="ListBullet3"/>
      </w:pPr>
      <w:r w:rsidRPr="00A84EB0">
        <w:t>different types of board</w:t>
      </w:r>
    </w:p>
    <w:p w:rsidR="00000000" w:rsidRPr="00A84EB0" w:rsidP="00A84EB0">
      <w:pPr>
        <w:pStyle w:val="ListBullet3"/>
      </w:pPr>
      <w:r w:rsidRPr="00A84EB0">
        <w:t>plywood</w:t>
      </w:r>
    </w:p>
    <w:p w:rsidR="00000000" w:rsidRPr="00A84EB0" w:rsidP="00A84EB0">
      <w:pPr>
        <w:pStyle w:val="ListBullet3"/>
      </w:pPr>
      <w:r w:rsidRPr="00A84EB0">
        <w:t>plastics</w:t>
      </w:r>
    </w:p>
    <w:p w:rsidR="00000000" w:rsidRPr="00A84EB0" w:rsidP="00A84EB0">
      <w:pPr>
        <w:pStyle w:val="ListBullet2"/>
      </w:pPr>
      <w:r w:rsidRPr="00A84EB0">
        <w:t>metals:</w:t>
      </w:r>
    </w:p>
    <w:p w:rsidR="00000000" w:rsidRPr="00A84EB0" w:rsidP="00A84EB0">
      <w:pPr>
        <w:pStyle w:val="ListBullet3"/>
      </w:pPr>
      <w:r w:rsidRPr="00A84EB0">
        <w:t xml:space="preserve">aluminium </w:t>
      </w:r>
    </w:p>
    <w:p w:rsidR="00000000" w:rsidRPr="00A84EB0" w:rsidP="00A84EB0">
      <w:pPr>
        <w:pStyle w:val="ListBullet3"/>
      </w:pPr>
      <w:r w:rsidRPr="00A84EB0">
        <w:t>brass</w:t>
      </w:r>
    </w:p>
    <w:p w:rsidR="00000000" w:rsidRPr="00A84EB0" w:rsidP="00A84EB0">
      <w:pPr>
        <w:pStyle w:val="ListBullet3"/>
      </w:pPr>
      <w:r w:rsidRPr="00A84EB0">
        <w:t>lead</w:t>
      </w:r>
    </w:p>
    <w:p w:rsidR="00000000" w:rsidRPr="00A84EB0" w:rsidP="00A84EB0">
      <w:pPr>
        <w:pStyle w:val="ListBullet3"/>
      </w:pPr>
      <w:r w:rsidRPr="00A84EB0">
        <w:t>steel</w:t>
      </w:r>
    </w:p>
    <w:p w:rsidR="00000000" w:rsidRPr="00A84EB0" w:rsidP="00A84EB0">
      <w:pPr>
        <w:pStyle w:val="ListBullet2"/>
      </w:pPr>
      <w:r w:rsidRPr="00A84EB0">
        <w:t>fabrics</w:t>
      </w:r>
    </w:p>
    <w:p w:rsidR="00000000" w:rsidRPr="00A84EB0" w:rsidP="00A84EB0">
      <w:pPr>
        <w:pStyle w:val="ListBullet"/>
      </w:pPr>
      <w:r w:rsidRPr="00A84EB0">
        <w:t xml:space="preserve">emerging material trends and technologies </w:t>
      </w:r>
    </w:p>
    <w:p w:rsidR="00000000" w:rsidRPr="00A84EB0" w:rsidP="00A84EB0">
      <w:pPr>
        <w:pStyle w:val="ListBullet"/>
      </w:pPr>
      <w:r w:rsidRPr="00A84EB0">
        <w:t>for commonly-used materials:</w:t>
      </w:r>
    </w:p>
    <w:p w:rsidR="00000000" w:rsidRPr="00A84EB0" w:rsidP="00A84EB0">
      <w:pPr>
        <w:pStyle w:val="ListBullet2"/>
      </w:pPr>
      <w:r w:rsidRPr="00A84EB0">
        <w:t>handling requirements</w:t>
      </w:r>
    </w:p>
    <w:p w:rsidR="00000000" w:rsidRPr="00A84EB0" w:rsidP="00A84EB0">
      <w:pPr>
        <w:pStyle w:val="ListBullet2"/>
      </w:pPr>
      <w:r w:rsidRPr="00A84EB0">
        <w:t>safety considerations and requirements for personal protective equipment during manufacture and installation</w:t>
      </w:r>
    </w:p>
    <w:p w:rsidR="00000000" w:rsidRPr="00A84EB0" w:rsidP="00A84EB0">
      <w:pPr>
        <w:pStyle w:val="ListBullet2"/>
      </w:pPr>
      <w:r w:rsidRPr="00A84EB0">
        <w:t>sustainability considerations</w:t>
      </w:r>
    </w:p>
    <w:p w:rsidR="00000000" w:rsidRPr="00A84EB0" w:rsidP="00A84EB0">
      <w:pPr>
        <w:pStyle w:val="ListBullet2"/>
      </w:pPr>
      <w:r w:rsidRPr="00A84EB0">
        <w:t xml:space="preserve">types of commercial production processes </w:t>
      </w:r>
    </w:p>
    <w:p w:rsidR="00000000" w:rsidRPr="00A84EB0" w:rsidP="00A84EB0">
      <w:pPr>
        <w:pStyle w:val="ListBullet2"/>
      </w:pPr>
      <w:r w:rsidRPr="00A84EB0">
        <w:t>performance characteristics:</w:t>
      </w:r>
    </w:p>
    <w:p w:rsidR="00000000" w:rsidRPr="00A84EB0" w:rsidP="00A84EB0">
      <w:pPr>
        <w:pStyle w:val="ListBullet3"/>
      </w:pPr>
      <w:r w:rsidRPr="00A84EB0">
        <w:t>stretch</w:t>
      </w:r>
    </w:p>
    <w:p w:rsidR="00000000" w:rsidRPr="00A84EB0" w:rsidP="00A84EB0">
      <w:pPr>
        <w:pStyle w:val="ListBullet3"/>
      </w:pPr>
      <w:r w:rsidRPr="00A84EB0">
        <w:t>abrasion</w:t>
      </w:r>
    </w:p>
    <w:p w:rsidR="00000000" w:rsidRPr="00A84EB0" w:rsidP="00A84EB0">
      <w:pPr>
        <w:pStyle w:val="ListBullet3"/>
      </w:pPr>
      <w:r w:rsidRPr="00A84EB0">
        <w:t>durability</w:t>
      </w:r>
    </w:p>
    <w:p w:rsidR="00000000" w:rsidRPr="00A84EB0" w:rsidP="00A84EB0">
      <w:pPr>
        <w:pStyle w:val="ListBullet3"/>
      </w:pPr>
      <w:r w:rsidRPr="00A84EB0">
        <w:t>elasticity</w:t>
      </w:r>
    </w:p>
    <w:p w:rsidR="00000000" w:rsidRPr="00A84EB0" w:rsidP="00A84EB0">
      <w:pPr>
        <w:pStyle w:val="ListBullet3"/>
      </w:pPr>
      <w:r w:rsidRPr="00A84EB0">
        <w:t>insulation</w:t>
      </w:r>
    </w:p>
    <w:p w:rsidR="00000000" w:rsidRPr="00A84EB0" w:rsidP="00A84EB0">
      <w:pPr>
        <w:pStyle w:val="ListBullet3"/>
      </w:pPr>
      <w:r w:rsidRPr="00A84EB0">
        <w:t>noise absorption</w:t>
      </w:r>
    </w:p>
    <w:p w:rsidR="00000000" w:rsidRPr="00A84EB0" w:rsidP="00A84EB0">
      <w:pPr>
        <w:pStyle w:val="ListBullet3"/>
      </w:pPr>
      <w:r w:rsidRPr="00A84EB0">
        <w:t>strength</w:t>
      </w:r>
    </w:p>
    <w:p w:rsidR="00000000" w:rsidRPr="00A84EB0" w:rsidP="00A84EB0">
      <w:pPr>
        <w:pStyle w:val="ListBullet3"/>
      </w:pPr>
      <w:r w:rsidRPr="00A84EB0">
        <w:t>fire resistance</w:t>
      </w:r>
    </w:p>
    <w:p w:rsidR="00BC3D75" w:rsidP="00A84EB0">
      <w:pPr>
        <w:pStyle w:val="ListBullet2"/>
      </w:pPr>
      <w:r w:rsidRPr="00A84EB0">
        <w:t>common faults, problems and defects and their causes.</w:t>
      </w:r>
    </w:p>
    <w:p w:rsidR="00BC3D75" w:rsidP="00A84EB0">
      <w:pPr>
        <w:pStyle w:val="ListBullet2"/>
      </w:pPr>
    </w:p>
    <w:p w:rsidR="00000000" w:rsidRPr="00A84EB0" w:rsidP="00A84EB0">
      <w:pPr>
        <w:pStyle w:val="Heading1"/>
      </w:pPr>
      <w:bookmarkStart w:id="4" w:name="O_1246791"/>
      <w:bookmarkEnd w:id="4"/>
      <w:r w:rsidRPr="00A84EB0">
        <w:t>Assessment Conditions</w:t>
      </w:r>
    </w:p>
    <w:p w:rsidR="00000000" w:rsidRPr="00A84EB0" w:rsidP="00BC3D75">
      <w:pPr>
        <w:pStyle w:val="BodyText"/>
      </w:pPr>
      <w:r w:rsidRPr="00A84EB0">
        <w:t>Skills must have been demonstrated in the workplace or in a simulated environment that reflects workplace conditions and contingencies. The following conditions must be met for this unit:</w:t>
      </w:r>
    </w:p>
    <w:p w:rsidR="00000000" w:rsidRPr="00A84EB0" w:rsidP="00A84EB0">
      <w:pPr>
        <w:pStyle w:val="ListBullet"/>
      </w:pPr>
      <w:r w:rsidRPr="00A84EB0">
        <w:t>use of suitable facilities, equipment and resources required for performance evidence, including information technology for research.</w:t>
      </w:r>
    </w:p>
    <w:p w:rsidR="00BC3D75" w:rsidP="00BC3D75">
      <w:pPr>
        <w:pStyle w:val="BodyText"/>
      </w:pPr>
      <w:r w:rsidRPr="00A84EB0">
        <w:t>Assessors must satisfy the NVR/AQTF mandatory competency requirements for assessors.</w:t>
      </w:r>
    </w:p>
    <w:p w:rsidR="00000000" w:rsidRPr="00A84EB0" w:rsidP="00A84EB0">
      <w:pPr>
        <w:pStyle w:val="Heading1"/>
      </w:pPr>
      <w:bookmarkStart w:id="5" w:name="O_1246794"/>
      <w:bookmarkEnd w:id="5"/>
      <w:r w:rsidRPr="00A84EB0">
        <w:t>Links</w:t>
      </w:r>
    </w:p>
    <w:p w:rsidR="00000000" w:rsidRPr="00A84EB0" w:rsidP="00BC3D75">
      <w:pPr>
        <w:pStyle w:val="BodyText"/>
      </w:pPr>
      <w:r w:rsidRPr="00A84EB0">
        <w:t>Companion V</w:t>
      </w:r>
      <w:r w:rsidRPr="00A84EB0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03F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84EB0" w:rsidP="00A84EB0"/>
    <w:sectPr w:rsidSect="00A84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0" w:rsidRPr="00BC3D75" w:rsidP="00BC3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75" w:rsidP="00A84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D75" w:rsidP="00A84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3D75" w:rsidP="00A84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EB0" w:rsidRPr="00BC3D75" w:rsidP="00BC3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75" w:rsidRPr="002D2AF8" w:rsidP="00A84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MSFFP2018 Source and review information about furnishing product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C3D75" w:rsidP="00A84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40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A8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CF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EB0"/>
  </w:style>
  <w:style w:type="character" w:customStyle="1" w:styleId="Heading1Char">
    <w:name w:val="Heading 1 Char"/>
    <w:basedOn w:val="DefaultParagraphFont"/>
    <w:link w:val="Heading1"/>
    <w:rsid w:val="00A84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E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E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4E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4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EB0"/>
    <w:rPr>
      <w:b/>
      <w:spacing w:val="0"/>
    </w:rPr>
  </w:style>
  <w:style w:type="paragraph" w:customStyle="1" w:styleId="SuperTitle">
    <w:name w:val="SuperTitle"/>
    <w:basedOn w:val="Title"/>
    <w:rsid w:val="00A84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EB0"/>
    <w:rPr>
      <w:i/>
    </w:rPr>
  </w:style>
  <w:style w:type="paragraph" w:styleId="Caption">
    <w:name w:val="caption"/>
    <w:basedOn w:val="BodyText"/>
    <w:next w:val="Normal"/>
    <w:qFormat/>
    <w:rsid w:val="00A84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EB0"/>
  </w:style>
  <w:style w:type="paragraph" w:styleId="TableofFigures">
    <w:name w:val="table of figures"/>
    <w:basedOn w:val="Normal"/>
    <w:next w:val="Normal"/>
    <w:semiHidden/>
    <w:rsid w:val="00A84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E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4EB0"/>
    <w:rPr>
      <w:rFonts w:ascii="Wingdings" w:hAnsi="Wingdings"/>
    </w:rPr>
  </w:style>
  <w:style w:type="paragraph" w:customStyle="1" w:styleId="TableHeading">
    <w:name w:val="Table Heading"/>
    <w:basedOn w:val="HeadingBase"/>
    <w:rsid w:val="00A84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EB0"/>
    <w:rPr>
      <w:color w:val="0033CC"/>
      <w:u w:val="none"/>
    </w:rPr>
  </w:style>
  <w:style w:type="paragraph" w:customStyle="1" w:styleId="BodyTextRight">
    <w:name w:val="Body Text Right"/>
    <w:basedOn w:val="BodyText"/>
    <w:rsid w:val="00A84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E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EB0"/>
    <w:rPr>
      <w:sz w:val="32"/>
    </w:rPr>
  </w:style>
  <w:style w:type="paragraph" w:customStyle="1" w:styleId="HeadingProcedure">
    <w:name w:val="Heading Procedure"/>
    <w:basedOn w:val="HeadingBase"/>
    <w:next w:val="Normal"/>
    <w:rsid w:val="00A84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EB0"/>
    <w:pPr>
      <w:spacing w:before="60" w:after="60"/>
    </w:pPr>
  </w:style>
  <w:style w:type="paragraph" w:styleId="ListContinue">
    <w:name w:val="List Continue"/>
    <w:basedOn w:val="List"/>
    <w:rsid w:val="00A84EB0"/>
    <w:pPr>
      <w:ind w:firstLine="0"/>
    </w:pPr>
  </w:style>
  <w:style w:type="paragraph" w:customStyle="1" w:styleId="ListNote">
    <w:name w:val="List Note"/>
    <w:basedOn w:val="List"/>
    <w:rsid w:val="00A84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EB0"/>
    <w:rPr>
      <w:rFonts w:ascii="Courier New" w:hAnsi="Courier New"/>
    </w:rPr>
  </w:style>
  <w:style w:type="paragraph" w:customStyle="1" w:styleId="NoteBullet">
    <w:name w:val="Note Bullet"/>
    <w:basedOn w:val="Note"/>
    <w:rsid w:val="00A84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E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4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EB0"/>
    <w:rPr>
      <w:b/>
      <w:smallCaps/>
    </w:rPr>
  </w:style>
  <w:style w:type="paragraph" w:customStyle="1" w:styleId="TableListNumber">
    <w:name w:val="Table List Number"/>
    <w:basedOn w:val="ListNumber"/>
    <w:rsid w:val="00A84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EB0"/>
    <w:pPr>
      <w:numPr>
        <w:numId w:val="10"/>
      </w:numPr>
    </w:pPr>
  </w:style>
  <w:style w:type="paragraph" w:customStyle="1" w:styleId="ListAlpha2">
    <w:name w:val="List Alpha 2"/>
    <w:basedOn w:val="List2"/>
    <w:rsid w:val="00A84EB0"/>
    <w:pPr>
      <w:numPr>
        <w:numId w:val="9"/>
      </w:numPr>
    </w:pPr>
  </w:style>
  <w:style w:type="paragraph" w:styleId="List2">
    <w:name w:val="List 2"/>
    <w:basedOn w:val="BodyText"/>
    <w:rsid w:val="00A84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E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4E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4EB0"/>
    <w:pPr>
      <w:numPr>
        <w:numId w:val="5"/>
      </w:numPr>
    </w:pPr>
  </w:style>
  <w:style w:type="paragraph" w:styleId="ListContinue2">
    <w:name w:val="List Continue 2"/>
    <w:basedOn w:val="List2"/>
    <w:rsid w:val="00A84EB0"/>
    <w:pPr>
      <w:ind w:firstLine="0"/>
    </w:pPr>
  </w:style>
  <w:style w:type="paragraph" w:styleId="ListContinue3">
    <w:name w:val="List Continue 3"/>
    <w:basedOn w:val="List3"/>
    <w:rsid w:val="00A84EB0"/>
    <w:pPr>
      <w:ind w:left="1021" w:firstLine="0"/>
    </w:pPr>
  </w:style>
  <w:style w:type="paragraph" w:styleId="ListContinue4">
    <w:name w:val="List Continue 4"/>
    <w:basedOn w:val="List4"/>
    <w:rsid w:val="00A84EB0"/>
    <w:pPr>
      <w:ind w:firstLine="0"/>
    </w:pPr>
  </w:style>
  <w:style w:type="paragraph" w:styleId="ListContinue5">
    <w:name w:val="List Continue 5"/>
    <w:basedOn w:val="List5"/>
    <w:rsid w:val="00A84EB0"/>
    <w:pPr>
      <w:ind w:firstLine="0"/>
    </w:pPr>
  </w:style>
  <w:style w:type="paragraph" w:styleId="ListNumber3">
    <w:name w:val="List Number 3"/>
    <w:basedOn w:val="List3"/>
    <w:rsid w:val="00A84EB0"/>
    <w:pPr>
      <w:numPr>
        <w:numId w:val="6"/>
      </w:numPr>
    </w:pPr>
  </w:style>
  <w:style w:type="paragraph" w:styleId="ListNumber4">
    <w:name w:val="List Number 4"/>
    <w:basedOn w:val="List4"/>
    <w:rsid w:val="00A84EB0"/>
    <w:pPr>
      <w:numPr>
        <w:numId w:val="7"/>
      </w:numPr>
    </w:pPr>
  </w:style>
  <w:style w:type="paragraph" w:styleId="ListNumber5">
    <w:name w:val="List Number 5"/>
    <w:basedOn w:val="List5"/>
    <w:rsid w:val="00A84EB0"/>
    <w:pPr>
      <w:numPr>
        <w:numId w:val="8"/>
      </w:numPr>
    </w:pPr>
  </w:style>
  <w:style w:type="paragraph" w:styleId="BlockText">
    <w:name w:val="Block Text"/>
    <w:basedOn w:val="Normal"/>
    <w:rsid w:val="00A84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EB0"/>
    <w:rPr>
      <w:sz w:val="16"/>
      <w:vertAlign w:val="superscript"/>
    </w:rPr>
  </w:style>
  <w:style w:type="character" w:customStyle="1" w:styleId="Symbols">
    <w:name w:val="Symbols"/>
    <w:basedOn w:val="DefaultParagraphFont"/>
    <w:rsid w:val="00A84EB0"/>
    <w:rPr>
      <w:rFonts w:ascii="Symbol" w:hAnsi="Symbol"/>
    </w:rPr>
  </w:style>
  <w:style w:type="character" w:customStyle="1" w:styleId="MenuOptions">
    <w:name w:val="Menu Options"/>
    <w:basedOn w:val="DefaultParagraphFont"/>
    <w:rsid w:val="00A84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EB0"/>
    <w:rPr>
      <w:b/>
    </w:rPr>
  </w:style>
  <w:style w:type="character" w:customStyle="1" w:styleId="Underlined">
    <w:name w:val="Underlined"/>
    <w:basedOn w:val="DefaultParagraphFont"/>
    <w:rsid w:val="00A84EB0"/>
    <w:rPr>
      <w:u w:val="single"/>
    </w:rPr>
  </w:style>
  <w:style w:type="paragraph" w:customStyle="1" w:styleId="TableBodyTextRight">
    <w:name w:val="Table Body Text Right"/>
    <w:basedOn w:val="TableBodyText"/>
    <w:rsid w:val="00A84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EB0"/>
    <w:rPr>
      <w:sz w:val="18"/>
    </w:rPr>
  </w:style>
  <w:style w:type="paragraph" w:customStyle="1" w:styleId="BodySmallRight">
    <w:name w:val="Body Small Right"/>
    <w:basedOn w:val="BodyTextRight"/>
    <w:rsid w:val="00A84EB0"/>
    <w:rPr>
      <w:sz w:val="18"/>
      <w:szCs w:val="18"/>
    </w:rPr>
  </w:style>
  <w:style w:type="paragraph" w:customStyle="1" w:styleId="MarginEdition">
    <w:name w:val="Margin Edition"/>
    <w:basedOn w:val="MarginNote"/>
    <w:rsid w:val="00A84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EB0"/>
    <w:rPr>
      <w:sz w:val="2"/>
      <w:szCs w:val="2"/>
    </w:rPr>
  </w:style>
  <w:style w:type="character" w:customStyle="1" w:styleId="Small">
    <w:name w:val="Small"/>
    <w:basedOn w:val="DefaultParagraphFont"/>
    <w:rsid w:val="00A84EB0"/>
    <w:rPr>
      <w:sz w:val="16"/>
    </w:rPr>
  </w:style>
  <w:style w:type="paragraph" w:customStyle="1" w:styleId="WideTable">
    <w:name w:val="Wide Table"/>
    <w:basedOn w:val="Normal"/>
    <w:rsid w:val="00A84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EB0"/>
  </w:style>
  <w:style w:type="paragraph" w:styleId="Quote">
    <w:name w:val="Quote"/>
    <w:basedOn w:val="Heading1"/>
    <w:link w:val="QuoteChar"/>
    <w:qFormat/>
    <w:rsid w:val="00A84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EB0"/>
    <w:pPr>
      <w:pageBreakBefore/>
    </w:pPr>
  </w:style>
  <w:style w:type="paragraph" w:customStyle="1" w:styleId="Border">
    <w:name w:val="Border"/>
    <w:basedOn w:val="Normal"/>
    <w:qFormat/>
    <w:rsid w:val="00A84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EB0"/>
    <w:rPr>
      <w:u w:val="single"/>
    </w:rPr>
  </w:style>
  <w:style w:type="character" w:customStyle="1" w:styleId="BoldandItalics">
    <w:name w:val="Bold and Italics"/>
    <w:qFormat/>
    <w:rsid w:val="00A84EB0"/>
    <w:rPr>
      <w:b/>
      <w:i/>
      <w:u w:val="none"/>
    </w:rPr>
  </w:style>
  <w:style w:type="paragraph" w:styleId="BalloonText">
    <w:name w:val="Balloon Text"/>
    <w:basedOn w:val="Normal"/>
    <w:link w:val="BalloonTextChar"/>
    <w:rsid w:val="00A84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EB0"/>
    <w:pPr>
      <w:spacing w:before="0" w:after="0"/>
    </w:pPr>
  </w:style>
  <w:style w:type="paragraph" w:customStyle="1" w:styleId="BodyTextBold">
    <w:name w:val="Body Text Bold"/>
    <w:basedOn w:val="BodyText"/>
    <w:qFormat/>
    <w:rsid w:val="00A84EB0"/>
    <w:rPr>
      <w:b/>
    </w:rPr>
  </w:style>
  <w:style w:type="character" w:styleId="Hyperlink">
    <w:name w:val="Hyperlink"/>
    <w:basedOn w:val="DefaultParagraphFont"/>
    <w:uiPriority w:val="99"/>
    <w:unhideWhenUsed/>
    <w:rsid w:val="00BC3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2532</Characters>
  <Application>Microsoft Office Word</Application>
  <DocSecurity>0</DocSecurity>
  <Lines>87</Lines>
  <Paragraphs>75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MSFFP2018 Source and review information about furnishing product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