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E1B" w:rsidP="002B5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MSFFP2012 Join furnishing materials</w:t>
      </w:r>
      <w:r>
        <w:fldChar w:fldCharType="end"/>
      </w:r>
    </w:p>
    <w:p w:rsidR="002B5E1B" w:rsidP="002B5E1B">
      <w:pPr>
        <w:pStyle w:val="Version"/>
        <w:sectPr w:rsidSect="00BB7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C7F" w:rsidP="00BB7C7F">
      <w:pPr>
        <w:pStyle w:val="SuperHeading"/>
      </w:pPr>
      <w:r w:rsidRPr="00BB7C7F">
        <w:t>MSFFP2012 Join furnishing materials</w:t>
      </w:r>
    </w:p>
    <w:p w:rsidR="00000000" w:rsidRPr="00BB7C7F" w:rsidP="00BB7C7F">
      <w:pPr>
        <w:pStyle w:val="Heading1"/>
      </w:pPr>
      <w:bookmarkStart w:id="1" w:name="O_1249045"/>
      <w:bookmarkEnd w:id="1"/>
      <w:r w:rsidRPr="00BB7C7F">
        <w:t>Modification History</w:t>
      </w:r>
    </w:p>
    <w:p w:rsidR="00000000" w:rsidRPr="00BB7C7F" w:rsidP="002B5E1B">
      <w:pPr>
        <w:pStyle w:val="BodyText"/>
      </w:pPr>
      <w:r w:rsidRPr="00BB7C7F">
        <w:t>Release 1. Changes to code, application, elements, performance criteria, assessment requirements. Foundation skills added. Range of conditions removed. Assessment requirements changed.</w:t>
      </w:r>
    </w:p>
    <w:p w:rsidR="00000000" w:rsidRPr="00BB7C7F" w:rsidP="00BB7C7F">
      <w:pPr>
        <w:pStyle w:val="Heading1"/>
      </w:pPr>
      <w:bookmarkStart w:id="2" w:name="O_1249046"/>
      <w:bookmarkEnd w:id="2"/>
      <w:r w:rsidRPr="00BB7C7F">
        <w:t>Application</w:t>
      </w:r>
    </w:p>
    <w:p w:rsidR="00000000" w:rsidRPr="00BB7C7F" w:rsidP="002B5E1B">
      <w:pPr>
        <w:pStyle w:val="BodyText"/>
      </w:pPr>
      <w:r w:rsidRPr="00BB7C7F">
        <w:t>This unit describes</w:t>
      </w:r>
      <w:r w:rsidRPr="00BB7C7F">
        <w:t xml:space="preserve"> the skills and knowledge required to join timber and other furnishing materials, including the construction of simple timber joints.</w:t>
      </w:r>
    </w:p>
    <w:p w:rsidR="00000000" w:rsidRPr="00BB7C7F" w:rsidP="002B5E1B">
      <w:pPr>
        <w:pStyle w:val="BodyText"/>
      </w:pPr>
      <w:r w:rsidRPr="00BB7C7F">
        <w:t>Learners with his competency have basic skills to support further study or entry-level work in furnishing and furniture ma</w:t>
      </w:r>
      <w:r w:rsidRPr="00BB7C7F">
        <w:t>king industries. This unit is usually delivered within a pre-employment training program. Work is carried out under supervision.</w:t>
      </w:r>
    </w:p>
    <w:p w:rsidR="00000000" w:rsidRPr="00BB7C7F" w:rsidP="002B5E1B">
      <w:pPr>
        <w:pStyle w:val="BodyText"/>
      </w:pPr>
      <w:r w:rsidRPr="00BB7C7F">
        <w:t>No licensing or certification requirements exist at the time of publication. Relevant legislation, industry standards and codes</w:t>
      </w:r>
      <w:r w:rsidRPr="00BB7C7F">
        <w:t xml:space="preserve"> of practice within Australia must be applied.</w:t>
      </w:r>
    </w:p>
    <w:p w:rsidR="00000000" w:rsidRPr="00BB7C7F" w:rsidP="00BB7C7F">
      <w:pPr>
        <w:pStyle w:val="Heading1"/>
      </w:pPr>
      <w:bookmarkStart w:id="3" w:name="O_1249048"/>
      <w:bookmarkEnd w:id="3"/>
      <w:r w:rsidRPr="00BB7C7F">
        <w:t>Competency Field</w:t>
      </w:r>
    </w:p>
    <w:p w:rsidR="00000000" w:rsidRPr="00BB7C7F" w:rsidP="002B5E1B">
      <w:pPr>
        <w:pStyle w:val="BodyText"/>
      </w:pPr>
      <w:r w:rsidRPr="00BB7C7F">
        <w:t>Furniture making pathways</w:t>
      </w:r>
    </w:p>
    <w:p w:rsidR="00000000" w:rsidRPr="00BB7C7F" w:rsidP="00BB7C7F">
      <w:pPr>
        <w:pStyle w:val="Heading1"/>
      </w:pPr>
      <w:bookmarkStart w:id="4" w:name="O_1249050"/>
      <w:bookmarkEnd w:id="4"/>
      <w:r w:rsidRPr="00BB7C7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B5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7F" w:rsidP="00BB7C7F">
            <w:pPr>
              <w:pStyle w:val="BodyText"/>
            </w:pPr>
            <w:r w:rsidRPr="00BB7C7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rPr>
                <w:rStyle w:val="SpecialBold"/>
              </w:rPr>
              <w:t>Performance Criteria</w:t>
            </w:r>
          </w:p>
        </w:tc>
      </w:tr>
      <w:tr w:rsidTr="002B5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>Performance criteria</w:t>
            </w:r>
            <w:r w:rsidRPr="00BB7C7F">
              <w:t xml:space="preserve"> describe the performance needed to demonstrate achievement of the element.</w:t>
            </w:r>
          </w:p>
        </w:tc>
      </w:tr>
      <w:tr w:rsidTr="002B5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7F" w:rsidP="00BB7C7F">
            <w:pPr>
              <w:pStyle w:val="BodyText"/>
            </w:pPr>
            <w:r w:rsidRPr="00BB7C7F">
              <w:t>1.1 Identify task requirements, including type of joining and quality requirements, from supervisor instructions</w:t>
            </w:r>
          </w:p>
          <w:p w:rsidR="00000000" w:rsidRPr="00BB7C7F" w:rsidP="00BB7C7F">
            <w:pPr>
              <w:pStyle w:val="BodyText"/>
            </w:pPr>
            <w:r w:rsidRPr="00BB7C7F">
              <w:t xml:space="preserve">1.2 Identify and follow work health and safety procedures </w:t>
            </w:r>
          </w:p>
          <w:p w:rsidR="00000000" w:rsidRPr="00BB7C7F" w:rsidP="00BB7C7F">
            <w:pPr>
              <w:pStyle w:val="BodyText"/>
            </w:pPr>
            <w:r w:rsidRPr="00BB7C7F">
              <w:t>1.3 Select tools and equipment to meet task requirements and check that they are safe and functional</w:t>
            </w:r>
          </w:p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>1.4 Check that materials meet task quality requirements</w:t>
            </w:r>
          </w:p>
        </w:tc>
      </w:tr>
      <w:tr w:rsidTr="002B5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>2. Join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7F" w:rsidP="00BB7C7F">
            <w:pPr>
              <w:pStyle w:val="BodyText"/>
            </w:pPr>
            <w:r w:rsidRPr="00BB7C7F">
              <w:t>2.1 Lay out materials</w:t>
            </w:r>
            <w:r w:rsidRPr="00BB7C7F">
              <w:t xml:space="preserve"> for joining to maximise efficiency of joining process</w:t>
            </w:r>
          </w:p>
          <w:p w:rsidR="00000000" w:rsidRPr="00BB7C7F" w:rsidP="00BB7C7F">
            <w:pPr>
              <w:pStyle w:val="BodyText"/>
            </w:pPr>
            <w:r w:rsidRPr="00BB7C7F">
              <w:t>2.2 Measure and mark out of cutting and joining lines in accordance with task requirements</w:t>
            </w:r>
          </w:p>
          <w:p w:rsidR="00000000" w:rsidRPr="00BB7C7F" w:rsidP="00BB7C7F">
            <w:pPr>
              <w:pStyle w:val="BodyText"/>
            </w:pPr>
            <w:r w:rsidRPr="00BB7C7F">
              <w:t>2.4 Join materials using hand and power tools</w:t>
            </w:r>
          </w:p>
          <w:p w:rsidR="00000000" w:rsidRPr="00BB7C7F" w:rsidP="00BB7C7F">
            <w:pPr>
              <w:pStyle w:val="BodyText"/>
            </w:pPr>
            <w:r w:rsidRPr="00BB7C7F">
              <w:t>2.5 Select and use fasteners, adhesives and appropriate clamping</w:t>
            </w:r>
            <w:r w:rsidRPr="00BB7C7F">
              <w:t xml:space="preserve"> systems to meet task requirements</w:t>
            </w:r>
          </w:p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>2.6 Check finished joint against quality requirements</w:t>
            </w:r>
          </w:p>
        </w:tc>
      </w:tr>
      <w:tr w:rsidTr="002B5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7F">
            <w:pPr>
              <w:pStyle w:val="BodyText"/>
              <w:rPr>
                <w:lang w:val="en-NZ"/>
              </w:rPr>
            </w:pPr>
            <w:r w:rsidRPr="00BB7C7F">
              <w:t xml:space="preserve">3. Clean work area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7F" w:rsidP="00BB7C7F">
            <w:pPr>
              <w:pStyle w:val="BodyText"/>
            </w:pPr>
            <w:r w:rsidRPr="00BB7C7F">
              <w:t xml:space="preserve">3.1 Clean and store tools in accordance with procedures </w:t>
            </w:r>
          </w:p>
          <w:p w:rsidR="00000000" w:rsidRPr="00BB7C7F" w:rsidP="00BB7C7F">
            <w:pPr>
              <w:pStyle w:val="BodyText"/>
            </w:pPr>
            <w:r w:rsidRPr="00BB7C7F">
              <w:t>3.2 Safely dispose of waste in accordance with procedures</w:t>
            </w:r>
          </w:p>
        </w:tc>
      </w:tr>
    </w:tbl>
    <w:p w:rsidR="00000000" w:rsidRPr="00BB7C7F" w:rsidP="00BB7C7F">
      <w:pPr>
        <w:pStyle w:val="BodyText"/>
      </w:pPr>
    </w:p>
    <w:p w:rsidR="00000000" w:rsidRPr="00BB7C7F" w:rsidP="00BB7C7F">
      <w:pPr>
        <w:pStyle w:val="AllowPageBreak"/>
      </w:pPr>
    </w:p>
    <w:p w:rsidR="00000000" w:rsidRPr="00BB7C7F" w:rsidP="00BB7C7F">
      <w:pPr>
        <w:pStyle w:val="Heading1"/>
      </w:pPr>
      <w:bookmarkStart w:id="5" w:name="O_1249051"/>
      <w:bookmarkEnd w:id="5"/>
      <w:r w:rsidRPr="00BB7C7F">
        <w:t>Foundation Skills</w:t>
      </w:r>
    </w:p>
    <w:p w:rsidR="00000000" w:rsidRPr="00BB7C7F" w:rsidP="002B5E1B">
      <w:pPr>
        <w:pStyle w:val="BodyText"/>
      </w:pPr>
      <w:r w:rsidRPr="00BB7C7F">
        <w:t>This section describes those language, literacy, numeracy and employment skills that are essential to performance but not explicit in the performance criteria.</w:t>
      </w:r>
    </w:p>
    <w:p w:rsidR="00000000" w:rsidRPr="00BB7C7F" w:rsidP="00BB7C7F">
      <w:pPr>
        <w:pStyle w:val="ListBullet"/>
      </w:pPr>
      <w:r w:rsidRPr="00BB7C7F">
        <w:t>Oral communication skills to participate in simple spoken exchanges with supe</w:t>
      </w:r>
      <w:r w:rsidRPr="00BB7C7F">
        <w:t>rvisor</w:t>
      </w:r>
    </w:p>
    <w:p w:rsidR="00000000" w:rsidRPr="00BB7C7F" w:rsidP="00BB7C7F">
      <w:pPr>
        <w:pStyle w:val="ListBullet"/>
      </w:pPr>
      <w:r w:rsidRPr="00BB7C7F">
        <w:t xml:space="preserve">Numeracy skills to measure and make simple calculations. </w:t>
      </w:r>
    </w:p>
    <w:p w:rsidR="00000000" w:rsidRPr="00BB7C7F" w:rsidP="002B5E1B">
      <w:pPr>
        <w:pStyle w:val="BodyText"/>
      </w:pPr>
      <w:r w:rsidRPr="00BB7C7F">
        <w:t>Other foundation skills essential to performance are explicit in the performance criteria of this unit.</w:t>
      </w:r>
    </w:p>
    <w:p w:rsidR="00000000" w:rsidRPr="00BB7C7F" w:rsidP="00BB7C7F">
      <w:pPr>
        <w:pStyle w:val="Heading1"/>
      </w:pPr>
      <w:bookmarkStart w:id="6" w:name="O_1249053"/>
      <w:bookmarkEnd w:id="6"/>
      <w:r w:rsidRPr="00BB7C7F">
        <w:t>Unit Mapping Information</w:t>
      </w:r>
    </w:p>
    <w:p w:rsidR="00000000" w:rsidRPr="00BB7C7F" w:rsidP="002B5E1B">
      <w:pPr>
        <w:pStyle w:val="BodyText"/>
      </w:pPr>
      <w:r w:rsidRPr="00BB7C7F">
        <w:t>Release 1. Redesigned unit – merges, supers</w:t>
      </w:r>
      <w:r w:rsidRPr="00BB7C7F">
        <w:t>edes and is not equivalent to MSFFP2005 Join furnishing materials and MSFFP2006 Make simple timber joints.</w:t>
      </w:r>
    </w:p>
    <w:p w:rsidR="00000000" w:rsidRPr="00BB7C7F" w:rsidP="00BB7C7F">
      <w:pPr>
        <w:pStyle w:val="Heading1"/>
      </w:pPr>
      <w:bookmarkStart w:id="7" w:name="O_1249060"/>
      <w:bookmarkEnd w:id="7"/>
      <w:r w:rsidRPr="00BB7C7F">
        <w:t>Links</w:t>
      </w:r>
    </w:p>
    <w:p w:rsidR="00000000" w:rsidRPr="00BB7C7F" w:rsidP="002B5E1B">
      <w:pPr>
        <w:pStyle w:val="BodyText"/>
      </w:pPr>
      <w:r w:rsidRPr="00BB7C7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344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B7C7F" w:rsidP="00BB7C7F"/>
    <w:sectPr w:rsidSect="00BB7C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7F" w:rsidRPr="002B5E1B" w:rsidP="002B5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E1B" w:rsidP="00BB7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5E1B" w:rsidP="00BB7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5E1B" w:rsidP="00BB7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C7F" w:rsidRPr="002B5E1B" w:rsidP="002B5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E1B" w:rsidRPr="002D2AF8" w:rsidP="00BB7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MSFFP2012 Join furnishing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B5E1B" w:rsidP="00BB7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EF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4CE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C7F"/>
  </w:style>
  <w:style w:type="character" w:customStyle="1" w:styleId="Heading1Char">
    <w:name w:val="Heading 1 Char"/>
    <w:basedOn w:val="DefaultParagraphFont"/>
    <w:link w:val="Heading1"/>
    <w:rsid w:val="00BB7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C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C7F"/>
    <w:rPr>
      <w:b/>
      <w:spacing w:val="0"/>
    </w:rPr>
  </w:style>
  <w:style w:type="paragraph" w:customStyle="1" w:styleId="SuperHeading">
    <w:name w:val="SuperHeading"/>
    <w:basedOn w:val="Normal"/>
    <w:rsid w:val="00BB7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C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C7F"/>
    <w:rPr>
      <w:i/>
    </w:rPr>
  </w:style>
  <w:style w:type="paragraph" w:styleId="Caption">
    <w:name w:val="caption"/>
    <w:basedOn w:val="BodyText"/>
    <w:next w:val="Normal"/>
    <w:qFormat/>
    <w:rsid w:val="00BB7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C7F"/>
  </w:style>
  <w:style w:type="paragraph" w:styleId="TableofFigures">
    <w:name w:val="table of figures"/>
    <w:basedOn w:val="Normal"/>
    <w:next w:val="Normal"/>
    <w:semiHidden/>
    <w:rsid w:val="00BB7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C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C7F"/>
    <w:rPr>
      <w:rFonts w:ascii="Wingdings" w:hAnsi="Wingdings"/>
    </w:rPr>
  </w:style>
  <w:style w:type="paragraph" w:customStyle="1" w:styleId="TableHeading">
    <w:name w:val="Table Heading"/>
    <w:basedOn w:val="HeadingBase"/>
    <w:rsid w:val="00BB7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C7F"/>
    <w:rPr>
      <w:color w:val="0033CC"/>
      <w:u w:val="none"/>
    </w:rPr>
  </w:style>
  <w:style w:type="paragraph" w:customStyle="1" w:styleId="BodyTextRight">
    <w:name w:val="Body Text Right"/>
    <w:basedOn w:val="BodyText"/>
    <w:rsid w:val="00BB7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C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C7F"/>
    <w:rPr>
      <w:sz w:val="32"/>
    </w:rPr>
  </w:style>
  <w:style w:type="paragraph" w:customStyle="1" w:styleId="HeadingProcedure">
    <w:name w:val="Heading Procedure"/>
    <w:basedOn w:val="HeadingBase"/>
    <w:next w:val="Normal"/>
    <w:rsid w:val="00BB7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C7F"/>
    <w:pPr>
      <w:spacing w:before="60" w:after="60"/>
    </w:pPr>
  </w:style>
  <w:style w:type="paragraph" w:styleId="ListContinue">
    <w:name w:val="List Continue"/>
    <w:basedOn w:val="List"/>
    <w:rsid w:val="00BB7C7F"/>
    <w:pPr>
      <w:ind w:firstLine="0"/>
    </w:pPr>
  </w:style>
  <w:style w:type="paragraph" w:customStyle="1" w:styleId="ListNote">
    <w:name w:val="List Note"/>
    <w:basedOn w:val="List"/>
    <w:rsid w:val="00BB7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C7F"/>
    <w:rPr>
      <w:rFonts w:ascii="Courier New" w:hAnsi="Courier New"/>
    </w:rPr>
  </w:style>
  <w:style w:type="paragraph" w:customStyle="1" w:styleId="NoteBullet">
    <w:name w:val="Note Bullet"/>
    <w:basedOn w:val="Note"/>
    <w:rsid w:val="00BB7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C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C7F"/>
    <w:rPr>
      <w:b/>
      <w:smallCaps/>
    </w:rPr>
  </w:style>
  <w:style w:type="paragraph" w:customStyle="1" w:styleId="TableListNumber">
    <w:name w:val="Table List Number"/>
    <w:basedOn w:val="ListNumber"/>
    <w:rsid w:val="00BB7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C7F"/>
    <w:pPr>
      <w:numPr>
        <w:numId w:val="8"/>
      </w:numPr>
    </w:pPr>
  </w:style>
  <w:style w:type="paragraph" w:customStyle="1" w:styleId="ListAlpha2">
    <w:name w:val="List Alpha 2"/>
    <w:basedOn w:val="List2"/>
    <w:rsid w:val="00BB7C7F"/>
    <w:pPr>
      <w:numPr>
        <w:numId w:val="7"/>
      </w:numPr>
    </w:pPr>
  </w:style>
  <w:style w:type="paragraph" w:styleId="List2">
    <w:name w:val="List 2"/>
    <w:basedOn w:val="BodyText"/>
    <w:rsid w:val="00BB7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C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C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C7F"/>
    <w:pPr>
      <w:numPr>
        <w:numId w:val="3"/>
      </w:numPr>
    </w:pPr>
  </w:style>
  <w:style w:type="paragraph" w:styleId="ListContinue2">
    <w:name w:val="List Continue 2"/>
    <w:basedOn w:val="List2"/>
    <w:rsid w:val="00BB7C7F"/>
    <w:pPr>
      <w:ind w:firstLine="0"/>
    </w:pPr>
  </w:style>
  <w:style w:type="paragraph" w:styleId="ListContinue3">
    <w:name w:val="List Continue 3"/>
    <w:basedOn w:val="List3"/>
    <w:rsid w:val="00BB7C7F"/>
    <w:pPr>
      <w:ind w:left="1021" w:firstLine="0"/>
    </w:pPr>
  </w:style>
  <w:style w:type="paragraph" w:styleId="ListContinue4">
    <w:name w:val="List Continue 4"/>
    <w:basedOn w:val="List4"/>
    <w:rsid w:val="00BB7C7F"/>
    <w:pPr>
      <w:ind w:firstLine="0"/>
    </w:pPr>
  </w:style>
  <w:style w:type="paragraph" w:styleId="ListContinue5">
    <w:name w:val="List Continue 5"/>
    <w:basedOn w:val="List5"/>
    <w:rsid w:val="00BB7C7F"/>
    <w:pPr>
      <w:ind w:firstLine="0"/>
    </w:pPr>
  </w:style>
  <w:style w:type="paragraph" w:styleId="ListNumber3">
    <w:name w:val="List Number 3"/>
    <w:basedOn w:val="List3"/>
    <w:rsid w:val="00BB7C7F"/>
    <w:pPr>
      <w:numPr>
        <w:numId w:val="4"/>
      </w:numPr>
    </w:pPr>
  </w:style>
  <w:style w:type="paragraph" w:styleId="ListNumber4">
    <w:name w:val="List Number 4"/>
    <w:basedOn w:val="List4"/>
    <w:rsid w:val="00BB7C7F"/>
    <w:pPr>
      <w:numPr>
        <w:numId w:val="5"/>
      </w:numPr>
    </w:pPr>
  </w:style>
  <w:style w:type="paragraph" w:styleId="ListNumber5">
    <w:name w:val="List Number 5"/>
    <w:basedOn w:val="List5"/>
    <w:rsid w:val="00BB7C7F"/>
    <w:pPr>
      <w:numPr>
        <w:numId w:val="6"/>
      </w:numPr>
    </w:pPr>
  </w:style>
  <w:style w:type="paragraph" w:styleId="BlockText">
    <w:name w:val="Block Text"/>
    <w:basedOn w:val="Normal"/>
    <w:rsid w:val="00BB7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C7F"/>
    <w:rPr>
      <w:sz w:val="16"/>
      <w:vertAlign w:val="superscript"/>
    </w:rPr>
  </w:style>
  <w:style w:type="character" w:customStyle="1" w:styleId="Symbols">
    <w:name w:val="Symbols"/>
    <w:basedOn w:val="DefaultParagraphFont"/>
    <w:rsid w:val="00BB7C7F"/>
    <w:rPr>
      <w:rFonts w:ascii="Symbol" w:hAnsi="Symbol"/>
    </w:rPr>
  </w:style>
  <w:style w:type="character" w:customStyle="1" w:styleId="MenuOptions">
    <w:name w:val="Menu Options"/>
    <w:basedOn w:val="DefaultParagraphFont"/>
    <w:rsid w:val="00BB7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C7F"/>
    <w:rPr>
      <w:b/>
    </w:rPr>
  </w:style>
  <w:style w:type="character" w:customStyle="1" w:styleId="Underlined">
    <w:name w:val="Underlined"/>
    <w:basedOn w:val="DefaultParagraphFont"/>
    <w:rsid w:val="00BB7C7F"/>
    <w:rPr>
      <w:u w:val="single"/>
    </w:rPr>
  </w:style>
  <w:style w:type="paragraph" w:customStyle="1" w:styleId="TableBodyTextRight">
    <w:name w:val="Table Body Text Right"/>
    <w:basedOn w:val="TableBodyText"/>
    <w:rsid w:val="00BB7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C7F"/>
    <w:rPr>
      <w:sz w:val="18"/>
    </w:rPr>
  </w:style>
  <w:style w:type="paragraph" w:customStyle="1" w:styleId="BodySmallRight">
    <w:name w:val="Body Small Right"/>
    <w:basedOn w:val="BodyTextRight"/>
    <w:rsid w:val="00BB7C7F"/>
    <w:rPr>
      <w:sz w:val="18"/>
      <w:szCs w:val="18"/>
    </w:rPr>
  </w:style>
  <w:style w:type="paragraph" w:customStyle="1" w:styleId="MarginEdition">
    <w:name w:val="Margin Edition"/>
    <w:basedOn w:val="MarginNote"/>
    <w:rsid w:val="00BB7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C7F"/>
    <w:rPr>
      <w:sz w:val="2"/>
      <w:szCs w:val="2"/>
    </w:rPr>
  </w:style>
  <w:style w:type="character" w:customStyle="1" w:styleId="Small">
    <w:name w:val="Small"/>
    <w:basedOn w:val="DefaultParagraphFont"/>
    <w:rsid w:val="00BB7C7F"/>
    <w:rPr>
      <w:sz w:val="16"/>
    </w:rPr>
  </w:style>
  <w:style w:type="paragraph" w:customStyle="1" w:styleId="WideTable">
    <w:name w:val="Wide Table"/>
    <w:basedOn w:val="Normal"/>
    <w:rsid w:val="00BB7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C7F"/>
  </w:style>
  <w:style w:type="paragraph" w:styleId="Quote">
    <w:name w:val="Quote"/>
    <w:basedOn w:val="Heading1"/>
    <w:link w:val="QuoteChar"/>
    <w:qFormat/>
    <w:rsid w:val="00BB7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C7F"/>
    <w:pPr>
      <w:pageBreakBefore/>
    </w:pPr>
  </w:style>
  <w:style w:type="paragraph" w:customStyle="1" w:styleId="Border">
    <w:name w:val="Border"/>
    <w:basedOn w:val="Normal"/>
    <w:qFormat/>
    <w:rsid w:val="00BB7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C7F"/>
    <w:rPr>
      <w:u w:val="single"/>
    </w:rPr>
  </w:style>
  <w:style w:type="character" w:customStyle="1" w:styleId="BoldandItalics">
    <w:name w:val="Bold and Italics"/>
    <w:qFormat/>
    <w:rsid w:val="00BB7C7F"/>
    <w:rPr>
      <w:b/>
      <w:i/>
      <w:u w:val="none"/>
    </w:rPr>
  </w:style>
  <w:style w:type="paragraph" w:styleId="BalloonText">
    <w:name w:val="Balloon Text"/>
    <w:basedOn w:val="Normal"/>
    <w:link w:val="BalloonTextChar"/>
    <w:rsid w:val="00BB7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C7F"/>
    <w:pPr>
      <w:spacing w:before="0" w:after="0"/>
    </w:pPr>
  </w:style>
  <w:style w:type="paragraph" w:customStyle="1" w:styleId="BodyTextBold">
    <w:name w:val="Body Text Bold"/>
    <w:basedOn w:val="BodyText"/>
    <w:qFormat/>
    <w:rsid w:val="00BB7C7F"/>
    <w:rPr>
      <w:b/>
    </w:rPr>
  </w:style>
  <w:style w:type="character" w:styleId="Hyperlink">
    <w:name w:val="Hyperlink"/>
    <w:basedOn w:val="DefaultParagraphFont"/>
    <w:uiPriority w:val="99"/>
    <w:unhideWhenUsed/>
    <w:rsid w:val="002B5E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2527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MSFFP2012 Join furnishing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