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F1D" w:rsidP="00906F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MSFFP2002 Develop a career plan for the furnishing industry</w:t>
      </w:r>
      <w:r>
        <w:fldChar w:fldCharType="end"/>
      </w:r>
    </w:p>
    <w:p w:rsidR="00906F1D" w:rsidP="00906F1D">
      <w:pPr>
        <w:pStyle w:val="Version"/>
        <w:sectPr w:rsidSect="004C0E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0EBC" w:rsidP="004C0EBC">
      <w:pPr>
        <w:pStyle w:val="SuperHeading"/>
      </w:pPr>
      <w:r w:rsidRPr="004C0EBC">
        <w:t>MSFFP2002 Develop a career plan for the furnishing industry</w:t>
      </w:r>
    </w:p>
    <w:p w:rsidR="00000000" w:rsidRPr="004C0EBC" w:rsidP="004C0EBC">
      <w:pPr>
        <w:pStyle w:val="Heading1"/>
      </w:pPr>
      <w:bookmarkStart w:id="1" w:name="O_846353"/>
      <w:bookmarkEnd w:id="1"/>
      <w:r w:rsidRPr="004C0EBC">
        <w:t>Modification History</w:t>
      </w:r>
    </w:p>
    <w:p w:rsidR="00000000" w:rsidRPr="004C0EBC" w:rsidP="00906F1D">
      <w:pPr>
        <w:pStyle w:val="BodyText"/>
      </w:pPr>
      <w:r w:rsidRPr="004C0EBC">
        <w:t>Release 1. New unit</w:t>
      </w:r>
    </w:p>
    <w:p w:rsidR="00000000" w:rsidRPr="004C0EBC" w:rsidP="004C0EBC">
      <w:pPr>
        <w:pStyle w:val="Heading1"/>
      </w:pPr>
      <w:bookmarkStart w:id="2" w:name="O_846354"/>
      <w:bookmarkEnd w:id="2"/>
      <w:r w:rsidRPr="004C0EBC">
        <w:t>Application</w:t>
      </w:r>
    </w:p>
    <w:p w:rsidR="00000000" w:rsidRPr="004C0EBC" w:rsidP="00906F1D">
      <w:pPr>
        <w:pStyle w:val="BodyText"/>
      </w:pPr>
      <w:r w:rsidRPr="004C0EBC">
        <w:t>This unit specifies the competency required to research careers, training and career path options in the furnishing industry. It involves research into the range of activ</w:t>
      </w:r>
      <w:r w:rsidRPr="004C0EBC">
        <w:t>ities available in the industry to develop a career plan.</w:t>
      </w:r>
    </w:p>
    <w:p w:rsidR="00000000" w:rsidRPr="004C0EBC" w:rsidP="00906F1D">
      <w:pPr>
        <w:pStyle w:val="BodyText"/>
      </w:pPr>
      <w:r w:rsidRPr="004C0EBC">
        <w:t>It is designed for use in a pre-employment skills introduction program and is suitable for use in institutional-based vocational programs. Skills development will take place under direct supervisio</w:t>
      </w:r>
      <w:r w:rsidRPr="004C0EBC">
        <w:t>n.</w:t>
      </w:r>
    </w:p>
    <w:p w:rsidR="00000000" w:rsidRPr="004C0EBC" w:rsidP="00906F1D">
      <w:pPr>
        <w:pStyle w:val="BodyText"/>
      </w:pPr>
      <w:r w:rsidRPr="004C0EBC">
        <w:t>This unit is not to be used in a traineeship or apprenticeship training program or associated qualifications. It is only to be used in pre-employment programs and carries no credit towards apprenticeship/trade and other qualification types in manufactu</w:t>
      </w:r>
      <w:r w:rsidRPr="004C0EBC">
        <w:t>ring and furnishings.</w:t>
      </w:r>
    </w:p>
    <w:p w:rsidR="00000000" w:rsidRPr="004C0EBC" w:rsidP="00906F1D">
      <w:pPr>
        <w:pStyle w:val="BodyText"/>
      </w:pPr>
      <w:r w:rsidRPr="004C0EBC">
        <w:t>No licensing, legislative or certification requirements apply to this unit at the time of publication.</w:t>
      </w:r>
    </w:p>
    <w:p w:rsidR="00000000" w:rsidRPr="004C0EBC" w:rsidP="004C0EBC">
      <w:pPr>
        <w:pStyle w:val="Heading1"/>
      </w:pPr>
      <w:bookmarkStart w:id="3" w:name="O_846355"/>
      <w:bookmarkEnd w:id="3"/>
      <w:r w:rsidRPr="004C0EBC">
        <w:t>Pre-requisite Unit</w:t>
      </w:r>
    </w:p>
    <w:p w:rsidR="00000000" w:rsidRPr="004C0EBC" w:rsidP="00906F1D">
      <w:pPr>
        <w:pStyle w:val="BodyText"/>
      </w:pPr>
      <w:r w:rsidRPr="004C0EBC">
        <w:t>Nil</w:t>
      </w:r>
    </w:p>
    <w:p w:rsidR="00000000" w:rsidRPr="004C0EBC" w:rsidP="004C0EBC">
      <w:pPr>
        <w:pStyle w:val="Heading1"/>
      </w:pPr>
      <w:bookmarkStart w:id="4" w:name="O_846356"/>
      <w:bookmarkEnd w:id="4"/>
      <w:r w:rsidRPr="004C0EBC">
        <w:t>Competency Field</w:t>
      </w:r>
    </w:p>
    <w:p w:rsidR="00000000" w:rsidRPr="004C0EBC" w:rsidP="004C0EBC">
      <w:pPr>
        <w:pStyle w:val="Heading1"/>
      </w:pPr>
      <w:bookmarkStart w:id="5" w:name="O_846357"/>
      <w:bookmarkEnd w:id="5"/>
      <w:r w:rsidRPr="004C0EBC">
        <w:t>Unit Sector</w:t>
      </w:r>
    </w:p>
    <w:p w:rsidR="00000000" w:rsidRPr="004C0EBC" w:rsidP="00906F1D">
      <w:pPr>
        <w:pStyle w:val="BodyText"/>
      </w:pPr>
      <w:r w:rsidRPr="004C0EBC">
        <w:t>Furniture Making Pathways</w:t>
      </w:r>
    </w:p>
    <w:p w:rsidR="00000000" w:rsidRPr="004C0EBC" w:rsidP="004C0EBC">
      <w:pPr>
        <w:pStyle w:val="Heading1"/>
      </w:pPr>
      <w:bookmarkStart w:id="6" w:name="O_846358"/>
      <w:bookmarkEnd w:id="6"/>
      <w:r w:rsidRPr="004C0E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0"/>
        <w:gridCol w:w="6380"/>
      </w:tblGrid>
      <w:tr w:rsidTr="004C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BC">
            <w:pPr>
              <w:pStyle w:val="BodyText"/>
              <w:rPr>
                <w:lang w:val="en-NZ"/>
              </w:rPr>
            </w:pPr>
            <w:r w:rsidRPr="004C0EBC">
              <w:t>Elements describe the essential outcomes.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BC" w:rsidP="004C0EBC">
            <w:pPr>
              <w:pStyle w:val="BodyText"/>
            </w:pPr>
            <w:r w:rsidRPr="004C0EBC">
              <w:t>Performance criteria describe the performance needed to demonstrate achievement of the element.</w:t>
            </w:r>
          </w:p>
        </w:tc>
      </w:tr>
    </w:tbl>
    <w:p w:rsidR="00000000" w:rsidRPr="004C0EBC" w:rsidP="004C0EB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C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BC">
            <w:pPr>
              <w:pStyle w:val="BodyText"/>
              <w:rPr>
                <w:lang w:val="en-NZ"/>
              </w:rPr>
            </w:pPr>
            <w:r w:rsidRPr="004C0EB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BC">
            <w:pPr>
              <w:pStyle w:val="BodyText"/>
              <w:rPr>
                <w:lang w:val="en-NZ"/>
              </w:rPr>
            </w:pPr>
            <w:r w:rsidRPr="004C0EBC">
              <w:t xml:space="preserve">Research </w:t>
            </w:r>
            <w:r w:rsidRPr="004C0EBC">
              <w:t>furnishing occupations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BC">
            <w:pPr>
              <w:pStyle w:val="BodyText"/>
              <w:rPr>
                <w:lang w:val="en-NZ"/>
              </w:rPr>
            </w:pPr>
            <w:r w:rsidRPr="004C0EB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BC">
            <w:pPr>
              <w:pStyle w:val="BodyText"/>
              <w:rPr>
                <w:lang w:val="en-NZ"/>
              </w:rPr>
            </w:pPr>
            <w:r w:rsidRPr="004C0EBC">
              <w:t xml:space="preserve">Identify sources of information of information about the </w:t>
            </w:r>
            <w:r w:rsidRPr="004C0EBC">
              <w:t>furnishing industry and identify furnishing industry sectors</w:t>
            </w:r>
          </w:p>
        </w:tc>
      </w:tr>
      <w:tr w:rsidTr="004C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BC">
            <w:pPr>
              <w:pStyle w:val="BodyText"/>
              <w:rPr>
                <w:lang w:val="en-NZ"/>
              </w:rPr>
            </w:pPr>
            <w:r w:rsidRPr="004C0EB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BC">
            <w:pPr>
              <w:pStyle w:val="BodyText"/>
              <w:rPr>
                <w:lang w:val="en-NZ"/>
              </w:rPr>
            </w:pPr>
            <w:r w:rsidRPr="004C0EBC">
              <w:t xml:space="preserve">Determine and describe the types of occupations in furnishing and associated industries and the enterprises that employ furnishing </w:t>
            </w:r>
            <w:r w:rsidRPr="004C0EBC">
              <w:t>occupations.</w:t>
            </w:r>
          </w:p>
        </w:tc>
      </w:tr>
      <w:tr w:rsidTr="004C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BC">
            <w:pPr>
              <w:pStyle w:val="BodyText"/>
              <w:rPr>
                <w:lang w:val="en-NZ"/>
              </w:rPr>
            </w:pPr>
            <w:r w:rsidRPr="004C0EB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BC" w:rsidP="004C0EBC">
            <w:pPr>
              <w:pStyle w:val="BodyText"/>
            </w:pPr>
            <w:r w:rsidRPr="004C0EBC">
              <w:t>Identify and list an appropriate qualification or qualifications for each occupation, together with the requirements/methods of achievement.</w:t>
            </w:r>
          </w:p>
        </w:tc>
      </w:tr>
    </w:tbl>
    <w:p w:rsidR="00000000" w:rsidRPr="004C0EBC" w:rsidP="004C0EB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C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BC">
            <w:pPr>
              <w:pStyle w:val="BodyText"/>
              <w:rPr>
                <w:lang w:val="en-NZ"/>
              </w:rPr>
            </w:pPr>
            <w:r w:rsidRPr="004C0EB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BC">
            <w:pPr>
              <w:pStyle w:val="BodyText"/>
              <w:rPr>
                <w:lang w:val="en-NZ"/>
              </w:rPr>
            </w:pPr>
            <w:r w:rsidRPr="004C0EBC">
              <w:t>Develop a career plan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BC">
            <w:pPr>
              <w:pStyle w:val="BodyText"/>
              <w:rPr>
                <w:lang w:val="en-NZ"/>
              </w:rPr>
            </w:pPr>
            <w:r w:rsidRPr="004C0EB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BC">
            <w:pPr>
              <w:pStyle w:val="BodyText"/>
              <w:rPr>
                <w:lang w:val="en-NZ"/>
              </w:rPr>
            </w:pPr>
            <w:r w:rsidRPr="004C0EBC">
              <w:t>Determine career paths within furnishing industry</w:t>
            </w:r>
          </w:p>
        </w:tc>
      </w:tr>
      <w:tr w:rsidTr="004C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BC">
            <w:pPr>
              <w:pStyle w:val="BodyText"/>
              <w:rPr>
                <w:lang w:val="en-NZ"/>
              </w:rPr>
            </w:pPr>
            <w:r w:rsidRPr="004C0EB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BC">
            <w:pPr>
              <w:pStyle w:val="BodyText"/>
              <w:rPr>
                <w:lang w:val="en-NZ"/>
              </w:rPr>
            </w:pPr>
            <w:r w:rsidRPr="004C0EBC">
              <w:t xml:space="preserve">Develop </w:t>
            </w:r>
            <w:r w:rsidRPr="004C0EBC">
              <w:t>a training plan for entry into and progression through the determined career paths</w:t>
            </w:r>
          </w:p>
        </w:tc>
      </w:tr>
      <w:tr w:rsidTr="004C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BC">
            <w:pPr>
              <w:pStyle w:val="BodyText"/>
              <w:rPr>
                <w:lang w:val="en-NZ"/>
              </w:rPr>
            </w:pPr>
            <w:r w:rsidRPr="004C0EB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BC">
            <w:pPr>
              <w:pStyle w:val="BodyText"/>
              <w:rPr>
                <w:lang w:val="en-NZ"/>
              </w:rPr>
            </w:pPr>
            <w:r w:rsidRPr="004C0EBC">
              <w:t>Assess and describe own skills and interests</w:t>
            </w:r>
          </w:p>
        </w:tc>
      </w:tr>
      <w:tr w:rsidTr="004C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BC">
            <w:pPr>
              <w:pStyle w:val="BodyText"/>
              <w:rPr>
                <w:lang w:val="en-NZ"/>
              </w:rPr>
            </w:pPr>
            <w:r w:rsidRPr="004C0EB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BC" w:rsidP="004C0EBC">
            <w:pPr>
              <w:pStyle w:val="BodyText"/>
            </w:pPr>
            <w:r w:rsidRPr="004C0EBC">
              <w:t>Develop a strategy for gaining access to an identified occupation</w:t>
            </w:r>
          </w:p>
        </w:tc>
      </w:tr>
    </w:tbl>
    <w:p w:rsidR="00000000" w:rsidRPr="004C0EBC" w:rsidP="004C0EB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C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BC">
            <w:pPr>
              <w:pStyle w:val="BodyText"/>
              <w:rPr>
                <w:lang w:val="en-NZ"/>
              </w:rPr>
            </w:pPr>
            <w:r w:rsidRPr="004C0EB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BC">
            <w:pPr>
              <w:pStyle w:val="BodyText"/>
              <w:rPr>
                <w:lang w:val="en-NZ"/>
              </w:rPr>
            </w:pPr>
            <w:r w:rsidRPr="004C0EBC">
              <w:t>Review plan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BC">
            <w:pPr>
              <w:pStyle w:val="BodyText"/>
              <w:rPr>
                <w:lang w:val="en-NZ"/>
              </w:rPr>
            </w:pPr>
            <w:r w:rsidRPr="004C0EB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BC">
            <w:pPr>
              <w:pStyle w:val="BodyText"/>
              <w:rPr>
                <w:lang w:val="en-NZ"/>
              </w:rPr>
            </w:pPr>
            <w:r w:rsidRPr="004C0EBC">
              <w:t xml:space="preserve">Discuss plan with appropriate people </w:t>
            </w:r>
          </w:p>
        </w:tc>
      </w:tr>
      <w:tr w:rsidTr="004C0E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BC">
            <w:pPr>
              <w:pStyle w:val="BodyText"/>
              <w:rPr>
                <w:lang w:val="en-NZ"/>
              </w:rPr>
            </w:pPr>
            <w:r w:rsidRPr="004C0EB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BC" w:rsidP="004C0EBC">
            <w:pPr>
              <w:pStyle w:val="BodyText"/>
            </w:pPr>
            <w:r w:rsidRPr="004C0EBC">
              <w:t>Amend plan as necessary</w:t>
            </w:r>
          </w:p>
        </w:tc>
      </w:tr>
    </w:tbl>
    <w:p w:rsidR="00000000" w:rsidRPr="004C0EBC" w:rsidP="004C0EBC">
      <w:pPr>
        <w:pStyle w:val="BodyText"/>
      </w:pPr>
    </w:p>
    <w:p w:rsidR="00000000" w:rsidRPr="004C0EBC" w:rsidP="004C0EBC">
      <w:pPr>
        <w:pStyle w:val="AllowPageBreak"/>
      </w:pPr>
    </w:p>
    <w:p w:rsidR="00000000" w:rsidRPr="004C0EBC" w:rsidP="004C0EBC">
      <w:pPr>
        <w:pStyle w:val="Heading1"/>
      </w:pPr>
      <w:bookmarkStart w:id="7" w:name="O_846359"/>
      <w:bookmarkEnd w:id="7"/>
      <w:r w:rsidRPr="004C0EBC">
        <w:t>Foundation Skills</w:t>
      </w:r>
    </w:p>
    <w:p w:rsidR="00000000" w:rsidRPr="004C0EBC" w:rsidP="00906F1D">
      <w:pPr>
        <w:pStyle w:val="BodyText"/>
      </w:pPr>
      <w:r w:rsidRPr="004C0EBC">
        <w:t xml:space="preserve">This section describes those required skills (reading, writing, oral communication and numeracy) that are essential to workplace performance in this </w:t>
      </w:r>
      <w:r w:rsidRPr="004C0EBC">
        <w:t>unit of competency.</w:t>
      </w:r>
    </w:p>
    <w:p w:rsidR="00000000" w:rsidRPr="004C0EBC" w:rsidP="00906F1D">
      <w:pPr>
        <w:pStyle w:val="BodyText"/>
      </w:pPr>
      <w:r w:rsidRPr="004C0EBC">
        <w:t>Foundation skills essential to performance are explicit in the performance criteria of this unit of competency.</w:t>
      </w:r>
    </w:p>
    <w:p w:rsidR="00000000" w:rsidRPr="004C0EBC" w:rsidP="004C0EBC">
      <w:pPr>
        <w:pStyle w:val="Heading1"/>
      </w:pPr>
      <w:bookmarkStart w:id="8" w:name="O_846360"/>
      <w:bookmarkEnd w:id="8"/>
      <w:r w:rsidRPr="004C0EB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5"/>
        <w:gridCol w:w="6491"/>
      </w:tblGrid>
      <w:tr w:rsidTr="00906F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BC">
            <w:pPr>
              <w:pStyle w:val="BodyText"/>
              <w:rPr>
                <w:lang w:val="en-NZ"/>
              </w:rPr>
            </w:pPr>
            <w:r w:rsidRPr="004C0EBC">
              <w:t>This field allows for different work environments and conditions that may affect perfo</w:t>
            </w:r>
            <w:r w:rsidRPr="004C0EBC">
              <w:t>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906F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BC">
            <w:pPr>
              <w:pStyle w:val="BodyText"/>
              <w:rPr>
                <w:lang w:val="en-NZ"/>
              </w:rPr>
            </w:pPr>
            <w:r w:rsidRPr="004C0EBC">
              <w:rPr>
                <w:rStyle w:val="SpecialBold"/>
              </w:rPr>
              <w:t xml:space="preserve">Industries sectors include one (1) more of the </w:t>
            </w:r>
            <w:r w:rsidRPr="004C0EBC">
              <w:rPr>
                <w:rStyle w:val="SpecialBold"/>
              </w:rPr>
              <w:t>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BC" w:rsidP="004C0EBC">
            <w:pPr>
              <w:pStyle w:val="ListBullet"/>
            </w:pPr>
            <w:r w:rsidRPr="004C0EBC">
              <w:t>blinds, awnings and security screens</w:t>
            </w:r>
          </w:p>
          <w:p w:rsidR="00000000" w:rsidRPr="004C0EBC" w:rsidP="004C0EBC">
            <w:pPr>
              <w:pStyle w:val="ListBullet"/>
            </w:pPr>
            <w:r w:rsidRPr="004C0EBC">
              <w:t>cabinet making (kitchens, bathrooms and built-in fitments)</w:t>
            </w:r>
          </w:p>
          <w:p w:rsidR="00000000" w:rsidRPr="004C0EBC" w:rsidP="004C0EBC">
            <w:pPr>
              <w:pStyle w:val="ListBullet"/>
            </w:pPr>
            <w:r w:rsidRPr="004C0EBC">
              <w:t>furniture making</w:t>
            </w:r>
          </w:p>
          <w:p w:rsidR="00000000" w:rsidRPr="004C0EBC" w:rsidP="004C0EBC">
            <w:pPr>
              <w:pStyle w:val="ListBullet"/>
            </w:pPr>
            <w:r w:rsidRPr="004C0EBC">
              <w:t>furniture finishing (polishing)</w:t>
            </w:r>
          </w:p>
          <w:p w:rsidR="00000000" w:rsidRPr="004C0EBC" w:rsidP="004C0EBC">
            <w:pPr>
              <w:pStyle w:val="ListBullet"/>
            </w:pPr>
            <w:r w:rsidRPr="004C0EBC">
              <w:t>flooring technology (timber, carpets and resilient)</w:t>
            </w:r>
          </w:p>
          <w:p w:rsidR="00000000" w:rsidRPr="004C0EBC" w:rsidP="004C0EBC">
            <w:pPr>
              <w:pStyle w:val="ListBullet"/>
            </w:pPr>
            <w:r w:rsidRPr="004C0EBC">
              <w:t>glass and glazing</w:t>
            </w:r>
          </w:p>
          <w:p w:rsidR="00000000" w:rsidRPr="004C0EBC" w:rsidP="004C0EBC">
            <w:pPr>
              <w:pStyle w:val="ListBullet"/>
            </w:pPr>
            <w:r w:rsidRPr="004C0EBC">
              <w:t>musical instrument making and repairs</w:t>
            </w:r>
          </w:p>
          <w:p w:rsidR="00000000" w:rsidRPr="004C0EBC" w:rsidP="004C0EBC">
            <w:pPr>
              <w:pStyle w:val="ListBullet"/>
            </w:pPr>
            <w:r w:rsidRPr="004C0EBC">
              <w:t>piano technology</w:t>
            </w:r>
          </w:p>
          <w:p w:rsidR="00000000" w:rsidRPr="004C0EBC" w:rsidP="004C0EBC">
            <w:pPr>
              <w:pStyle w:val="ListBullet"/>
            </w:pPr>
            <w:r w:rsidRPr="004C0EBC">
              <w:t>picture framing</w:t>
            </w:r>
          </w:p>
          <w:p w:rsidR="00000000" w:rsidRPr="004C0EBC" w:rsidP="004C0EBC">
            <w:pPr>
              <w:pStyle w:val="ListBullet"/>
            </w:pPr>
            <w:r w:rsidRPr="004C0EBC">
              <w:t>soft furnishings</w:t>
            </w:r>
          </w:p>
          <w:p w:rsidR="00000000" w:rsidRPr="004C0EBC" w:rsidP="004C0EBC">
            <w:pPr>
              <w:pStyle w:val="ListBullet"/>
            </w:pPr>
            <w:r w:rsidRPr="004C0EBC">
              <w:t>wood machining</w:t>
            </w:r>
          </w:p>
          <w:p w:rsidR="00000000" w:rsidRPr="004C0EBC" w:rsidP="004C0EBC">
            <w:pPr>
              <w:pStyle w:val="ListBullet"/>
            </w:pPr>
            <w:r w:rsidRPr="004C0EBC">
              <w:t>upholstery</w:t>
            </w:r>
          </w:p>
          <w:p w:rsidR="00000000" w:rsidP="004C0EBC">
            <w:pPr>
              <w:pStyle w:val="BodyText"/>
              <w:rPr>
                <w:lang w:val="en-NZ"/>
              </w:rPr>
            </w:pPr>
          </w:p>
        </w:tc>
      </w:tr>
      <w:tr w:rsidTr="00906F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EBC">
            <w:pPr>
              <w:pStyle w:val="BodyText"/>
              <w:rPr>
                <w:lang w:val="en-NZ"/>
              </w:rPr>
            </w:pPr>
            <w:r w:rsidRPr="004C0EBC">
              <w:rPr>
                <w:rStyle w:val="SpecialBold"/>
              </w:rPr>
              <w:t>Occupations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EBC" w:rsidP="004C0EBC">
            <w:pPr>
              <w:pStyle w:val="ListBullet"/>
            </w:pPr>
            <w:r w:rsidRPr="004C0EBC">
              <w:t>general duties</w:t>
            </w:r>
          </w:p>
          <w:p w:rsidR="00000000" w:rsidRPr="004C0EBC" w:rsidP="004C0EBC">
            <w:pPr>
              <w:pStyle w:val="ListBullet"/>
            </w:pPr>
            <w:r w:rsidRPr="004C0EBC">
              <w:t>production work</w:t>
            </w:r>
          </w:p>
          <w:p w:rsidR="00000000" w:rsidRPr="004C0EBC" w:rsidP="004C0EBC">
            <w:pPr>
              <w:pStyle w:val="ListBullet"/>
            </w:pPr>
            <w:r w:rsidRPr="004C0EBC">
              <w:t xml:space="preserve">artesian </w:t>
            </w:r>
          </w:p>
          <w:p w:rsidR="00000000" w:rsidRPr="004C0EBC" w:rsidP="004C0EBC">
            <w:pPr>
              <w:pStyle w:val="ListBullet"/>
            </w:pPr>
            <w:r w:rsidRPr="004C0EBC">
              <w:t>tradesman</w:t>
            </w:r>
          </w:p>
          <w:p w:rsidR="00000000" w:rsidRPr="004C0EBC" w:rsidP="004C0EBC">
            <w:pPr>
              <w:pStyle w:val="ListBullet"/>
            </w:pPr>
            <w:r w:rsidRPr="004C0EBC">
              <w:t>apprentice</w:t>
            </w:r>
          </w:p>
          <w:p w:rsidR="00000000" w:rsidRPr="004C0EBC" w:rsidP="004C0EBC">
            <w:pPr>
              <w:pStyle w:val="ListBullet"/>
            </w:pPr>
            <w:r w:rsidRPr="004C0EBC">
              <w:t>furnishings manufacturer</w:t>
            </w:r>
          </w:p>
          <w:p w:rsidR="00000000" w:rsidRPr="004C0EBC" w:rsidP="004C0EBC">
            <w:pPr>
              <w:pStyle w:val="ListBullet"/>
            </w:pPr>
            <w:r w:rsidRPr="004C0EBC">
              <w:t>paraprofessional designer</w:t>
            </w:r>
          </w:p>
          <w:p w:rsidR="00000000" w:rsidRPr="004C0EBC" w:rsidP="004C0EBC">
            <w:pPr>
              <w:pStyle w:val="ListBullet"/>
            </w:pPr>
            <w:r w:rsidRPr="004C0EBC">
              <w:t>paraprofessional technician</w:t>
            </w:r>
          </w:p>
          <w:p w:rsidR="00000000" w:rsidRPr="004C0EBC" w:rsidP="004C0EBC">
            <w:pPr>
              <w:pStyle w:val="ListBullet"/>
            </w:pPr>
            <w:r w:rsidRPr="004C0EBC">
              <w:t>installers</w:t>
            </w:r>
          </w:p>
          <w:p w:rsidR="00000000" w:rsidRPr="004C0EBC" w:rsidP="004C0EBC">
            <w:pPr>
              <w:pStyle w:val="ListBullet"/>
            </w:pPr>
            <w:r w:rsidRPr="004C0EBC">
              <w:t>technical sales</w:t>
            </w:r>
          </w:p>
          <w:p w:rsidR="00000000" w:rsidRPr="004C0EBC" w:rsidP="004C0EBC">
            <w:pPr>
              <w:pStyle w:val="BodyText"/>
            </w:pPr>
          </w:p>
        </w:tc>
      </w:tr>
    </w:tbl>
    <w:p w:rsidR="00000000" w:rsidRPr="004C0EBC" w:rsidP="004C0EBC">
      <w:pPr>
        <w:pStyle w:val="BodyText"/>
      </w:pPr>
    </w:p>
    <w:p w:rsidR="00000000" w:rsidRPr="004C0EBC" w:rsidP="004C0EBC">
      <w:pPr>
        <w:pStyle w:val="AllowPageBreak"/>
      </w:pPr>
    </w:p>
    <w:p w:rsidR="00000000" w:rsidRPr="004C0EBC" w:rsidP="004C0EBC">
      <w:pPr>
        <w:pStyle w:val="Heading1"/>
      </w:pPr>
      <w:bookmarkStart w:id="9" w:name="O_846361"/>
      <w:bookmarkEnd w:id="9"/>
      <w:r w:rsidRPr="004C0EBC">
        <w:t>Unit Mapping Information</w:t>
      </w:r>
    </w:p>
    <w:p w:rsidR="00000000" w:rsidRPr="004C0EBC" w:rsidP="00906F1D">
      <w:pPr>
        <w:pStyle w:val="BodyText"/>
      </w:pPr>
      <w:r w:rsidRPr="004C0EBC">
        <w:t xml:space="preserve">New unit </w:t>
      </w:r>
    </w:p>
    <w:p w:rsidR="00000000" w:rsidRPr="004C0EBC" w:rsidP="004C0EBC">
      <w:pPr>
        <w:pStyle w:val="Heading1"/>
      </w:pPr>
      <w:bookmarkStart w:id="10" w:name="O_846368"/>
      <w:bookmarkEnd w:id="10"/>
      <w:r w:rsidRPr="004C0EBC">
        <w:t>Links</w:t>
      </w:r>
    </w:p>
    <w:p w:rsidR="00000000" w:rsidRPr="004C0EBC" w:rsidP="00906F1D">
      <w:pPr>
        <w:pStyle w:val="BodyText"/>
      </w:pPr>
      <w:r w:rsidRPr="004C0E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4353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C0EBC" w:rsidP="004C0EBC"/>
    <w:sectPr w:rsidSect="004C0E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E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EBC" w:rsidRPr="00906F1D" w:rsidP="00906F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E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F1D" w:rsidP="004C0E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6F1D" w:rsidP="004C0E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06F1D" w:rsidP="004C0E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E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F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0EBC" w:rsidRPr="00906F1D" w:rsidP="00906F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E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F1D" w:rsidRPr="002D2AF8" w:rsidP="004C0E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MSFFP2002 Develop a career plan for the furnishing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906F1D" w:rsidP="004C0E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C82F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F231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E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E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E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E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E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E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E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E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E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E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E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EBC"/>
  </w:style>
  <w:style w:type="character" w:customStyle="1" w:styleId="Heading1Char">
    <w:name w:val="Heading 1 Char"/>
    <w:basedOn w:val="DefaultParagraphFont"/>
    <w:link w:val="Heading1"/>
    <w:rsid w:val="004C0E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E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E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0E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0EBC"/>
    <w:rPr>
      <w:b/>
      <w:spacing w:val="0"/>
    </w:rPr>
  </w:style>
  <w:style w:type="paragraph" w:customStyle="1" w:styleId="SuperHeading">
    <w:name w:val="SuperHeading"/>
    <w:basedOn w:val="Normal"/>
    <w:rsid w:val="004C0E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0E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0E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E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E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E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E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E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E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E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E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0E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E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0E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E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E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0E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0E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0E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E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E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0E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0E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E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E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E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E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E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E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E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E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0EBC"/>
    <w:rPr>
      <w:i/>
    </w:rPr>
  </w:style>
  <w:style w:type="paragraph" w:styleId="Caption">
    <w:name w:val="caption"/>
    <w:basedOn w:val="BodyText"/>
    <w:next w:val="Normal"/>
    <w:qFormat/>
    <w:rsid w:val="004C0E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E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E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EBC"/>
  </w:style>
  <w:style w:type="paragraph" w:styleId="TableofFigures">
    <w:name w:val="table of figures"/>
    <w:basedOn w:val="Normal"/>
    <w:next w:val="Normal"/>
    <w:semiHidden/>
    <w:rsid w:val="004C0E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E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0EBC"/>
    <w:rPr>
      <w:rFonts w:ascii="Wingdings" w:hAnsi="Wingdings"/>
    </w:rPr>
  </w:style>
  <w:style w:type="paragraph" w:customStyle="1" w:styleId="TableHeading">
    <w:name w:val="Table Heading"/>
    <w:basedOn w:val="HeadingBase"/>
    <w:rsid w:val="004C0E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0EBC"/>
    <w:rPr>
      <w:color w:val="0033CC"/>
      <w:u w:val="none"/>
    </w:rPr>
  </w:style>
  <w:style w:type="paragraph" w:customStyle="1" w:styleId="BodyTextRight">
    <w:name w:val="Body Text Right"/>
    <w:basedOn w:val="BodyText"/>
    <w:rsid w:val="004C0E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E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E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E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E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E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EBC"/>
    <w:rPr>
      <w:sz w:val="32"/>
    </w:rPr>
  </w:style>
  <w:style w:type="paragraph" w:customStyle="1" w:styleId="HeadingProcedure">
    <w:name w:val="Heading Procedure"/>
    <w:basedOn w:val="HeadingBase"/>
    <w:next w:val="Normal"/>
    <w:rsid w:val="004C0E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EBC"/>
    <w:pPr>
      <w:spacing w:before="60" w:after="60"/>
    </w:pPr>
  </w:style>
  <w:style w:type="paragraph" w:styleId="ListContinue">
    <w:name w:val="List Continue"/>
    <w:basedOn w:val="List"/>
    <w:rsid w:val="004C0EBC"/>
    <w:pPr>
      <w:ind w:firstLine="0"/>
    </w:pPr>
  </w:style>
  <w:style w:type="paragraph" w:customStyle="1" w:styleId="ListNote">
    <w:name w:val="List Note"/>
    <w:basedOn w:val="List"/>
    <w:rsid w:val="004C0E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E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E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EBC"/>
    <w:rPr>
      <w:rFonts w:ascii="Courier New" w:hAnsi="Courier New"/>
    </w:rPr>
  </w:style>
  <w:style w:type="paragraph" w:customStyle="1" w:styleId="NoteBullet">
    <w:name w:val="Note Bullet"/>
    <w:basedOn w:val="Note"/>
    <w:rsid w:val="004C0E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E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E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E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E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0E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E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EBC"/>
    <w:rPr>
      <w:b/>
      <w:smallCaps/>
    </w:rPr>
  </w:style>
  <w:style w:type="paragraph" w:customStyle="1" w:styleId="TableListNumber">
    <w:name w:val="Table List Number"/>
    <w:basedOn w:val="ListNumber"/>
    <w:rsid w:val="004C0E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E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EBC"/>
    <w:pPr>
      <w:numPr>
        <w:numId w:val="8"/>
      </w:numPr>
    </w:pPr>
  </w:style>
  <w:style w:type="paragraph" w:customStyle="1" w:styleId="ListAlpha2">
    <w:name w:val="List Alpha 2"/>
    <w:basedOn w:val="List2"/>
    <w:rsid w:val="004C0EBC"/>
    <w:pPr>
      <w:numPr>
        <w:numId w:val="7"/>
      </w:numPr>
    </w:pPr>
  </w:style>
  <w:style w:type="paragraph" w:styleId="List2">
    <w:name w:val="List 2"/>
    <w:basedOn w:val="BodyText"/>
    <w:rsid w:val="004C0E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E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E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E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0E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0E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0EBC"/>
    <w:pPr>
      <w:numPr>
        <w:numId w:val="3"/>
      </w:numPr>
    </w:pPr>
  </w:style>
  <w:style w:type="paragraph" w:styleId="ListContinue2">
    <w:name w:val="List Continue 2"/>
    <w:basedOn w:val="List2"/>
    <w:rsid w:val="004C0EBC"/>
    <w:pPr>
      <w:ind w:firstLine="0"/>
    </w:pPr>
  </w:style>
  <w:style w:type="paragraph" w:styleId="ListContinue3">
    <w:name w:val="List Continue 3"/>
    <w:basedOn w:val="List3"/>
    <w:rsid w:val="004C0EBC"/>
    <w:pPr>
      <w:ind w:left="1021" w:firstLine="0"/>
    </w:pPr>
  </w:style>
  <w:style w:type="paragraph" w:styleId="ListContinue4">
    <w:name w:val="List Continue 4"/>
    <w:basedOn w:val="List4"/>
    <w:rsid w:val="004C0EBC"/>
    <w:pPr>
      <w:ind w:firstLine="0"/>
    </w:pPr>
  </w:style>
  <w:style w:type="paragraph" w:styleId="ListContinue5">
    <w:name w:val="List Continue 5"/>
    <w:basedOn w:val="List5"/>
    <w:rsid w:val="004C0EBC"/>
    <w:pPr>
      <w:ind w:firstLine="0"/>
    </w:pPr>
  </w:style>
  <w:style w:type="paragraph" w:styleId="ListNumber3">
    <w:name w:val="List Number 3"/>
    <w:basedOn w:val="List3"/>
    <w:rsid w:val="004C0EBC"/>
    <w:pPr>
      <w:numPr>
        <w:numId w:val="4"/>
      </w:numPr>
    </w:pPr>
  </w:style>
  <w:style w:type="paragraph" w:styleId="ListNumber4">
    <w:name w:val="List Number 4"/>
    <w:basedOn w:val="List4"/>
    <w:rsid w:val="004C0EBC"/>
    <w:pPr>
      <w:numPr>
        <w:numId w:val="5"/>
      </w:numPr>
    </w:pPr>
  </w:style>
  <w:style w:type="paragraph" w:styleId="ListNumber5">
    <w:name w:val="List Number 5"/>
    <w:basedOn w:val="List5"/>
    <w:rsid w:val="004C0EBC"/>
    <w:pPr>
      <w:numPr>
        <w:numId w:val="6"/>
      </w:numPr>
    </w:pPr>
  </w:style>
  <w:style w:type="paragraph" w:styleId="BlockText">
    <w:name w:val="Block Text"/>
    <w:basedOn w:val="Normal"/>
    <w:rsid w:val="004C0E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E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EBC"/>
    <w:rPr>
      <w:sz w:val="16"/>
      <w:vertAlign w:val="superscript"/>
    </w:rPr>
  </w:style>
  <w:style w:type="character" w:customStyle="1" w:styleId="Symbols">
    <w:name w:val="Symbols"/>
    <w:basedOn w:val="DefaultParagraphFont"/>
    <w:rsid w:val="004C0EBC"/>
    <w:rPr>
      <w:rFonts w:ascii="Symbol" w:hAnsi="Symbol"/>
    </w:rPr>
  </w:style>
  <w:style w:type="character" w:customStyle="1" w:styleId="MenuOptions">
    <w:name w:val="Menu Options"/>
    <w:basedOn w:val="DefaultParagraphFont"/>
    <w:rsid w:val="004C0E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EBC"/>
    <w:rPr>
      <w:b/>
    </w:rPr>
  </w:style>
  <w:style w:type="character" w:customStyle="1" w:styleId="Underlined">
    <w:name w:val="Underlined"/>
    <w:basedOn w:val="DefaultParagraphFont"/>
    <w:rsid w:val="004C0EBC"/>
    <w:rPr>
      <w:u w:val="single"/>
    </w:rPr>
  </w:style>
  <w:style w:type="paragraph" w:customStyle="1" w:styleId="TableBodyTextRight">
    <w:name w:val="Table Body Text Right"/>
    <w:basedOn w:val="TableBodyText"/>
    <w:rsid w:val="004C0E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EBC"/>
    <w:rPr>
      <w:sz w:val="18"/>
    </w:rPr>
  </w:style>
  <w:style w:type="paragraph" w:customStyle="1" w:styleId="BodySmallRight">
    <w:name w:val="Body Small Right"/>
    <w:basedOn w:val="BodyTextRight"/>
    <w:rsid w:val="004C0EBC"/>
    <w:rPr>
      <w:sz w:val="18"/>
      <w:szCs w:val="18"/>
    </w:rPr>
  </w:style>
  <w:style w:type="paragraph" w:customStyle="1" w:styleId="MarginEdition">
    <w:name w:val="Margin Edition"/>
    <w:basedOn w:val="MarginNote"/>
    <w:rsid w:val="004C0E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EBC"/>
    <w:rPr>
      <w:sz w:val="2"/>
      <w:szCs w:val="2"/>
    </w:rPr>
  </w:style>
  <w:style w:type="character" w:customStyle="1" w:styleId="Small">
    <w:name w:val="Small"/>
    <w:basedOn w:val="DefaultParagraphFont"/>
    <w:rsid w:val="004C0EBC"/>
    <w:rPr>
      <w:sz w:val="16"/>
    </w:rPr>
  </w:style>
  <w:style w:type="paragraph" w:customStyle="1" w:styleId="WideTable">
    <w:name w:val="Wide Table"/>
    <w:basedOn w:val="Normal"/>
    <w:rsid w:val="004C0E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EBC"/>
  </w:style>
  <w:style w:type="paragraph" w:styleId="Quote">
    <w:name w:val="Quote"/>
    <w:basedOn w:val="Heading1"/>
    <w:link w:val="QuoteChar"/>
    <w:qFormat/>
    <w:rsid w:val="004C0E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E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EBC"/>
    <w:pPr>
      <w:pageBreakBefore/>
    </w:pPr>
  </w:style>
  <w:style w:type="paragraph" w:customStyle="1" w:styleId="Border">
    <w:name w:val="Border"/>
    <w:basedOn w:val="Normal"/>
    <w:qFormat/>
    <w:rsid w:val="004C0E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E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E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E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E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E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E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E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E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EBC"/>
    <w:rPr>
      <w:u w:val="single"/>
    </w:rPr>
  </w:style>
  <w:style w:type="character" w:customStyle="1" w:styleId="BoldandItalics">
    <w:name w:val="Bold and Italics"/>
    <w:qFormat/>
    <w:rsid w:val="004C0EBC"/>
    <w:rPr>
      <w:b/>
      <w:i/>
      <w:u w:val="none"/>
    </w:rPr>
  </w:style>
  <w:style w:type="paragraph" w:styleId="BalloonText">
    <w:name w:val="Balloon Text"/>
    <w:basedOn w:val="Normal"/>
    <w:link w:val="BalloonTextChar"/>
    <w:rsid w:val="004C0E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E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E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E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E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E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0EBC"/>
    <w:pPr>
      <w:spacing w:before="0" w:after="0"/>
    </w:pPr>
  </w:style>
  <w:style w:type="paragraph" w:customStyle="1" w:styleId="BodyTextBold">
    <w:name w:val="Body Text Bold"/>
    <w:basedOn w:val="BodyText"/>
    <w:qFormat/>
    <w:rsid w:val="004C0EBC"/>
    <w:rPr>
      <w:b/>
    </w:rPr>
  </w:style>
  <w:style w:type="character" w:styleId="Hyperlink">
    <w:name w:val="Hyperlink"/>
    <w:basedOn w:val="DefaultParagraphFont"/>
    <w:uiPriority w:val="99"/>
    <w:unhideWhenUsed/>
    <w:rsid w:val="00906F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3176</Characters>
  <Application>Microsoft Office Word</Application>
  <DocSecurity>0</DocSecurity>
  <Lines>144</Lines>
  <Paragraphs>89</Paragraphs>
  <ScaleCrop>false</ScaleCrop>
  <Company>Author-it Software Corporation Ltd.</Company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MSFFP2002 Develop a career plan for the furnishing industry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2022-06-03T07:43:00Z</dcterms:created>
  <dcterms:modified xsi:type="dcterms:W3CDTF">2022-06-03T07:43:00Z</dcterms:modified>
</cp:coreProperties>
</file>