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F00" w:rsidP="00D56F00">
      <w:pPr>
        <w:pStyle w:val="Title"/>
      </w:pPr>
      <w:r>
        <w:fldChar w:fldCharType="begin"/>
      </w:r>
      <w:r>
        <w:instrText xml:space="preserve"> TITLE   \* MERGEFORMAT </w:instrText>
      </w:r>
      <w:r>
        <w:fldChar w:fldCharType="separate"/>
      </w:r>
      <w:r>
        <w:t>MSFFM4004 Produce timber veneered components for custom furniture</w:t>
      </w:r>
      <w:r>
        <w:fldChar w:fldCharType="end"/>
      </w:r>
    </w:p>
    <w:p w:rsidR="00D56F00" w:rsidP="00D56F00">
      <w:pPr>
        <w:pStyle w:val="Version"/>
        <w:sectPr w:rsidSect="00176A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6A2E" w:rsidP="00176A2E">
      <w:pPr>
        <w:pStyle w:val="SuperHeading"/>
      </w:pPr>
      <w:r w:rsidRPr="00176A2E">
        <w:t>MSFFM4004 Produce timber veneered components for custom furniture</w:t>
      </w:r>
    </w:p>
    <w:p w:rsidR="00000000" w:rsidRPr="00176A2E" w:rsidP="00176A2E">
      <w:pPr>
        <w:pStyle w:val="Heading1"/>
      </w:pPr>
      <w:bookmarkStart w:id="1" w:name="O_635306"/>
      <w:bookmarkEnd w:id="1"/>
      <w:r w:rsidRPr="00176A2E">
        <w:t>Modification History</w:t>
      </w:r>
    </w:p>
    <w:p w:rsidR="00000000" w:rsidRPr="00176A2E" w:rsidP="00D56F00">
      <w:pPr>
        <w:pStyle w:val="BodyText"/>
      </w:pPr>
      <w:r w:rsidRPr="00176A2E">
        <w:t>Release 1 - New unit of competency</w:t>
      </w:r>
    </w:p>
    <w:p w:rsidR="00000000" w:rsidRPr="00176A2E" w:rsidP="00176A2E">
      <w:pPr>
        <w:pStyle w:val="Heading1"/>
      </w:pPr>
      <w:bookmarkStart w:id="2" w:name="O_635314"/>
      <w:bookmarkEnd w:id="2"/>
      <w:r w:rsidRPr="00176A2E">
        <w:t>Application</w:t>
      </w:r>
    </w:p>
    <w:p w:rsidR="00000000" w:rsidRPr="00176A2E" w:rsidP="00D56F00">
      <w:pPr>
        <w:pStyle w:val="BodyText"/>
      </w:pPr>
      <w:r w:rsidRPr="00176A2E">
        <w:t>This unit of competency covers production of timber veneered components f</w:t>
      </w:r>
      <w:r w:rsidRPr="00176A2E">
        <w:t>or custom-made furniture in a wide variety of fine wood operations. It applies to a workshop environment and involves application of skills and knowledge at a craftsman or artisan level.</w:t>
      </w:r>
    </w:p>
    <w:p w:rsidR="00000000" w:rsidRPr="00176A2E" w:rsidP="00D56F00">
      <w:pPr>
        <w:pStyle w:val="BodyText"/>
      </w:pPr>
      <w:r w:rsidRPr="00176A2E">
        <w:t>No licensing, legislative or certification requirements apply to thi</w:t>
      </w:r>
      <w:r w:rsidRPr="00176A2E">
        <w:t>s unit at the time of publication.</w:t>
      </w:r>
    </w:p>
    <w:p w:rsidR="00000000" w:rsidRPr="00176A2E" w:rsidP="00176A2E">
      <w:pPr>
        <w:pStyle w:val="Heading1"/>
      </w:pPr>
      <w:bookmarkStart w:id="3" w:name="O_635313"/>
      <w:bookmarkEnd w:id="3"/>
      <w:r w:rsidRPr="00176A2E">
        <w:t>Pre-requisite Unit</w:t>
      </w:r>
    </w:p>
    <w:p w:rsidR="00000000" w:rsidRPr="00176A2E" w:rsidP="00176A2E">
      <w:pPr>
        <w:pStyle w:val="Heading1"/>
      </w:pPr>
      <w:bookmarkStart w:id="4" w:name="O_635312"/>
      <w:bookmarkEnd w:id="4"/>
      <w:r w:rsidRPr="00176A2E">
        <w:t>Competency Field</w:t>
      </w:r>
    </w:p>
    <w:p w:rsidR="00000000" w:rsidRPr="00176A2E" w:rsidP="00176A2E">
      <w:pPr>
        <w:pStyle w:val="Heading1"/>
      </w:pPr>
      <w:bookmarkStart w:id="5" w:name="O_635311"/>
      <w:bookmarkEnd w:id="5"/>
      <w:r w:rsidRPr="00176A2E">
        <w:t>Unit Sector</w:t>
      </w:r>
    </w:p>
    <w:p w:rsidR="00000000" w:rsidRPr="00176A2E" w:rsidP="00D56F00">
      <w:pPr>
        <w:pStyle w:val="BodyText"/>
      </w:pPr>
      <w:r w:rsidRPr="00176A2E">
        <w:t>Furniture Making</w:t>
      </w:r>
    </w:p>
    <w:p w:rsidR="00000000" w:rsidRPr="00176A2E" w:rsidP="00176A2E">
      <w:pPr>
        <w:pStyle w:val="Heading1"/>
      </w:pPr>
      <w:bookmarkStart w:id="6" w:name="O_635310"/>
      <w:bookmarkEnd w:id="6"/>
      <w:r w:rsidRPr="00176A2E">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76A2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Performance c</w:t>
            </w:r>
            <w:r w:rsidRPr="00176A2E">
              <w:t>riteria describe the performance needed to demonstrate achievement of the element.</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1</w:t>
            </w:r>
          </w:p>
        </w:tc>
        <w:tc>
          <w:tcPr>
            <w:tcW w:w="2185"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Prepare for work</w:t>
            </w: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1.1</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Applicable work he</w:t>
            </w:r>
            <w:r w:rsidRPr="00176A2E">
              <w:t>alth and safety (WHS), legislative and organisational requirements relevant to producing timber veneered components for custom-made furniture are complied with</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1.2</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Instructions, plans or design briefs are read and interpreted to identify processes and m</w:t>
            </w:r>
            <w:r w:rsidRPr="00176A2E">
              <w:t>aterials to complete work tasks</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1.3</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Suitable timber or timber veneer material is identified, evaluated and selected</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1.4</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Tools, equipment and materials are selected and checked prior to use to ensure that they are appropriate for the work, serviceable and in a safe condition</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1.5</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Sequence of work is planned and documented, including the starting point, to ensure efficiency</w:t>
            </w:r>
            <w:r w:rsidRPr="00176A2E">
              <w:t xml:space="preserve"> and quality of finish</w:t>
            </w:r>
          </w:p>
        </w:tc>
      </w:tr>
      <w:tr w:rsidTr="00176A2E">
        <w:tblPrEx>
          <w:tblW w:w="9286" w:type="dxa"/>
          <w:tblLayout w:type="fixed"/>
          <w:tblCellMar>
            <w:left w:w="62" w:type="dxa"/>
            <w:right w:w="62" w:type="dxa"/>
          </w:tblCellMar>
          <w:tblLook w:val="0000"/>
        </w:tblPrEx>
        <w:trPr>
          <w:trHeight w:val="227"/>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1.6</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Quality checking procedures are developed and documented for each step in the veneering process</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2</w:t>
            </w:r>
          </w:p>
        </w:tc>
        <w:tc>
          <w:tcPr>
            <w:tcW w:w="2185"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 xml:space="preserve">Prepare timber veneer </w:t>
            </w: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2.1</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Timber is selected and the cutting face is prepared</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2.2</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Veneer timber is cut along grain at the specified thickness</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2.3</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Veneer thickness and consistency are monitored with respect of size and tolerances</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2.4</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Veneer is dressed to the required tolerances for further use</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3</w:t>
            </w:r>
          </w:p>
        </w:tc>
        <w:tc>
          <w:tcPr>
            <w:tcW w:w="2185"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3.1</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Design of veneer is laid out</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3.2</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Veneers are selected and checked for flaws</w:t>
            </w:r>
          </w:p>
        </w:tc>
      </w:tr>
      <w:tr w:rsidTr="00176A2E">
        <w:tblPrEx>
          <w:tblW w:w="9286" w:type="dxa"/>
          <w:tblLayout w:type="fixed"/>
          <w:tblCellMar>
            <w:left w:w="62" w:type="dxa"/>
            <w:right w:w="62" w:type="dxa"/>
          </w:tblCellMar>
          <w:tblLook w:val="0000"/>
        </w:tblPrEx>
        <w:trPr>
          <w:trHeight w:val="486"/>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3.3</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Veneers are matched and method of joining to adjacent veneers is selected and prepared for</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3.4</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Veneers are prepared for application and laid out</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3.5</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Suitable joining processes to backing and adjacent veneers are selected and prepared</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3.6</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The style of edge finish is selected and prepared for</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4</w:t>
            </w:r>
          </w:p>
        </w:tc>
        <w:tc>
          <w:tcPr>
            <w:tcW w:w="2185"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Apply and/or fit and finish</w:t>
            </w: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4.1</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Veneers are measured, marked and cut to size, and applied to base material</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4.2</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Adhesives are applied according to workplace procedures and manufacturer instructions</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4.3</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Selected joining process is applied in accordance with workplace procedures, including the use of protective equipment</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4.4</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Final trim and finishing are completed to specifications</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4.5</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Work is checked against required quality standards</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4.6</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Any non-conformity with the required quality standard is rectified</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5</w:t>
            </w:r>
          </w:p>
        </w:tc>
        <w:tc>
          <w:tcPr>
            <w:tcW w:w="2185"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Finalise the work sequence</w:t>
            </w: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5.1</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The product is prepared for finishing in accordance with the design specification</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5.2</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Carving tools are cleaned, maintained and stored in accordance with manufacturer specification</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5.3</w:t>
            </w:r>
          </w:p>
        </w:tc>
        <w:tc>
          <w:tcPr>
            <w:tcW w:w="5844"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Work area is cleared and waste removed</w:t>
            </w:r>
          </w:p>
        </w:tc>
      </w:tr>
      <w:tr w:rsidTr="00176A2E">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5.4</w:t>
            </w:r>
          </w:p>
        </w:tc>
        <w:tc>
          <w:tcPr>
            <w:tcW w:w="5844" w:type="dxa"/>
            <w:tcBorders>
              <w:top w:val="nil"/>
              <w:left w:val="nil"/>
              <w:bottom w:val="nil"/>
              <w:right w:val="nil"/>
            </w:tcBorders>
            <w:tcMar>
              <w:top w:w="0" w:type="dxa"/>
              <w:left w:w="62" w:type="dxa"/>
              <w:bottom w:w="0" w:type="dxa"/>
              <w:right w:w="62" w:type="dxa"/>
            </w:tcMar>
          </w:tcPr>
          <w:p w:rsidR="00000000" w:rsidRPr="00176A2E" w:rsidP="00176A2E">
            <w:pPr>
              <w:pStyle w:val="BodyText"/>
            </w:pPr>
            <w:r w:rsidRPr="00176A2E">
              <w:t>Workplace documenta</w:t>
            </w:r>
            <w:r w:rsidRPr="00176A2E">
              <w:t>tion and/or reports are completed</w:t>
            </w:r>
          </w:p>
        </w:tc>
      </w:tr>
    </w:tbl>
    <w:p w:rsidR="00000000" w:rsidRPr="00176A2E" w:rsidP="00176A2E">
      <w:pPr>
        <w:pStyle w:val="BodyText"/>
      </w:pPr>
    </w:p>
    <w:p w:rsidR="00000000" w:rsidRPr="00176A2E" w:rsidP="00176A2E">
      <w:pPr>
        <w:pStyle w:val="AllowPageBreak"/>
      </w:pPr>
    </w:p>
    <w:p w:rsidR="00000000" w:rsidRPr="00176A2E" w:rsidP="00176A2E">
      <w:pPr>
        <w:pStyle w:val="Heading1"/>
      </w:pPr>
      <w:bookmarkStart w:id="7" w:name="O_635309"/>
      <w:bookmarkEnd w:id="7"/>
      <w:r w:rsidRPr="00176A2E">
        <w:t>Foundation Skills</w:t>
      </w:r>
    </w:p>
    <w:p w:rsidR="00000000" w:rsidRPr="00176A2E" w:rsidP="00D56F00">
      <w:pPr>
        <w:pStyle w:val="BodyText"/>
      </w:pPr>
      <w:r w:rsidRPr="00176A2E">
        <w:t>Foundation skills essential to performance are explicit in the performance criteria of this unit of competency. Detail on appropriate performance levels for each furnishing unit of comp</w:t>
      </w:r>
      <w:r w:rsidRPr="00176A2E">
        <w:t>etency in reading, writing, oral communication and numeracy utilising the Australian Core Skills Framework (ACSF) are provided in the Furnishing Training Package Implementation Guide.</w:t>
      </w:r>
    </w:p>
    <w:p w:rsidR="00000000" w:rsidRPr="00176A2E" w:rsidP="00176A2E">
      <w:pPr>
        <w:pStyle w:val="Heading1"/>
      </w:pPr>
      <w:bookmarkStart w:id="8" w:name="O_635308"/>
      <w:bookmarkEnd w:id="8"/>
      <w:r w:rsidRPr="00176A2E">
        <w:t>Range of Conditions</w:t>
      </w:r>
    </w:p>
    <w:tbl>
      <w:tblPr>
        <w:tblW w:w="0" w:type="auto"/>
        <w:tblLayout w:type="fixed"/>
        <w:tblCellMar>
          <w:left w:w="62" w:type="dxa"/>
          <w:right w:w="62" w:type="dxa"/>
        </w:tblCellMar>
        <w:tblLook w:val="0000"/>
      </w:tblPr>
      <w:tblGrid>
        <w:gridCol w:w="2760"/>
        <w:gridCol w:w="6312"/>
      </w:tblGrid>
      <w:tr w:rsidTr="00176A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t>Specifies different work environments and conditions that may affect performance. Essential operating conditions that may be present (depending on the work situation, needs of the candidate, accessibility of the item, and local industry and regional contex</w:t>
            </w:r>
            <w:r w:rsidRPr="00176A2E">
              <w:t>ts) are included. Range is restricted to essential operating conditions and any other variables essential to the work environment.</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Veneered components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thin slices of wood, usually thinner than 3 mm (1/8</w:t>
            </w:r>
            <w:r>
              <w:t>”</w:t>
            </w:r>
            <w:r w:rsidRPr="00176A2E">
              <w:t>0 glued and pressed onto core panels of d</w:t>
            </w:r>
            <w:r w:rsidRPr="00176A2E">
              <w:t xml:space="preserve">ifferent material, including: </w:t>
            </w:r>
          </w:p>
          <w:p w:rsidR="00000000" w:rsidRPr="00176A2E" w:rsidP="00176A2E">
            <w:pPr>
              <w:pStyle w:val="ListBullet2"/>
            </w:pPr>
            <w:r w:rsidRPr="00176A2E">
              <w:t>wood</w:t>
            </w:r>
          </w:p>
          <w:p w:rsidR="00000000" w:rsidRPr="00176A2E" w:rsidP="00176A2E">
            <w:pPr>
              <w:pStyle w:val="ListBullet2"/>
            </w:pPr>
            <w:r w:rsidRPr="00176A2E">
              <w:t xml:space="preserve">particleboard </w:t>
            </w:r>
          </w:p>
          <w:p w:rsidR="00000000" w:rsidRPr="00176A2E" w:rsidP="00176A2E">
            <w:pPr>
              <w:pStyle w:val="ListBullet2"/>
            </w:pPr>
            <w:r w:rsidRPr="00176A2E">
              <w:t>medium density fibreboard (MDF)</w:t>
            </w:r>
          </w:p>
          <w:p w:rsidR="00000000" w:rsidP="00176A2E">
            <w:pPr>
              <w:pStyle w:val="ListBullet"/>
              <w:rPr>
                <w:lang w:val="en-NZ"/>
              </w:rPr>
            </w:pPr>
            <w:r w:rsidRPr="00176A2E">
              <w:t>veneers are also used in parquetry, marquetry, intarsia and inlays</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workplace veneering instructions, including job sheets, plans, specifications, drawings and designs</w:t>
            </w:r>
          </w:p>
          <w:p w:rsidR="00000000" w:rsidRPr="00176A2E" w:rsidP="00176A2E">
            <w:pPr>
              <w:pStyle w:val="ListBullet"/>
            </w:pPr>
            <w:r w:rsidRPr="00176A2E">
              <w:t>workplace procedures relating to reporting and communications</w:t>
            </w:r>
          </w:p>
          <w:p w:rsidR="00000000" w:rsidP="00176A2E">
            <w:pPr>
              <w:pStyle w:val="ListBullet"/>
              <w:rPr>
                <w:lang w:val="en-NZ"/>
              </w:rPr>
            </w:pPr>
            <w:r w:rsidRPr="00176A2E">
              <w:t>manufacturer instructions for the use of equipment and materials</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 xml:space="preserve">knives </w:t>
            </w:r>
          </w:p>
          <w:p w:rsidR="00000000" w:rsidRPr="00176A2E" w:rsidP="00176A2E">
            <w:pPr>
              <w:pStyle w:val="ListBullet"/>
            </w:pPr>
            <w:r w:rsidRPr="00176A2E">
              <w:t>chisels</w:t>
            </w:r>
          </w:p>
          <w:p w:rsidR="00000000" w:rsidRPr="00176A2E" w:rsidP="00176A2E">
            <w:pPr>
              <w:pStyle w:val="ListBullet"/>
            </w:pPr>
            <w:r w:rsidRPr="00176A2E">
              <w:t xml:space="preserve">measuring tapes or rules </w:t>
            </w:r>
          </w:p>
          <w:p w:rsidR="00000000" w:rsidRPr="00176A2E" w:rsidP="00176A2E">
            <w:pPr>
              <w:pStyle w:val="ListBullet"/>
            </w:pPr>
            <w:r w:rsidRPr="00176A2E">
              <w:t xml:space="preserve">mallets </w:t>
            </w:r>
          </w:p>
          <w:p w:rsidR="00000000" w:rsidRPr="00176A2E" w:rsidP="00176A2E">
            <w:pPr>
              <w:pStyle w:val="ListBullet"/>
            </w:pPr>
            <w:r w:rsidRPr="00176A2E">
              <w:t xml:space="preserve">squares </w:t>
            </w:r>
          </w:p>
          <w:p w:rsidR="00000000" w:rsidRPr="00176A2E" w:rsidP="00176A2E">
            <w:pPr>
              <w:pStyle w:val="ListBullet"/>
            </w:pPr>
            <w:r w:rsidRPr="00176A2E">
              <w:t xml:space="preserve">levels </w:t>
            </w:r>
          </w:p>
          <w:p w:rsidR="00000000" w:rsidRPr="00176A2E" w:rsidP="00176A2E">
            <w:pPr>
              <w:pStyle w:val="ListBullet"/>
            </w:pPr>
            <w:r w:rsidRPr="00176A2E">
              <w:t xml:space="preserve">planes </w:t>
            </w:r>
          </w:p>
          <w:p w:rsidR="00000000" w:rsidRPr="00176A2E" w:rsidP="00176A2E">
            <w:pPr>
              <w:pStyle w:val="ListBullet"/>
            </w:pPr>
            <w:r w:rsidRPr="00176A2E">
              <w:t xml:space="preserve">band saws </w:t>
            </w:r>
          </w:p>
          <w:p w:rsidR="00000000" w:rsidRPr="00176A2E" w:rsidP="00176A2E">
            <w:pPr>
              <w:pStyle w:val="ListBullet"/>
            </w:pPr>
            <w:r w:rsidRPr="00176A2E">
              <w:t xml:space="preserve">rotary lathe </w:t>
            </w:r>
          </w:p>
          <w:p w:rsidR="00000000" w:rsidRPr="00176A2E" w:rsidP="00176A2E">
            <w:pPr>
              <w:pStyle w:val="ListBullet"/>
            </w:pPr>
            <w:r w:rsidRPr="00176A2E">
              <w:t>slicing machine</w:t>
            </w:r>
          </w:p>
          <w:p w:rsidR="00000000" w:rsidRPr="00176A2E" w:rsidP="00176A2E">
            <w:pPr>
              <w:pStyle w:val="ListBullet"/>
            </w:pPr>
            <w:r w:rsidRPr="00176A2E">
              <w:t xml:space="preserve">half round lathe </w:t>
            </w:r>
          </w:p>
          <w:p w:rsidR="00000000" w:rsidRPr="00176A2E" w:rsidP="00176A2E">
            <w:pPr>
              <w:pStyle w:val="ListBullet"/>
            </w:pPr>
            <w:r w:rsidRPr="00176A2E">
              <w:t xml:space="preserve">power saws </w:t>
            </w:r>
          </w:p>
          <w:p w:rsidR="00000000" w:rsidRPr="00176A2E" w:rsidP="00176A2E">
            <w:pPr>
              <w:pStyle w:val="ListBullet"/>
            </w:pPr>
            <w:r w:rsidRPr="00176A2E">
              <w:t xml:space="preserve">power drills/screwdrivers </w:t>
            </w:r>
          </w:p>
          <w:p w:rsidR="00000000" w:rsidRPr="00176A2E" w:rsidP="00176A2E">
            <w:pPr>
              <w:pStyle w:val="ListBullet"/>
            </w:pPr>
            <w:r w:rsidRPr="00176A2E">
              <w:t xml:space="preserve">hand drills </w:t>
            </w:r>
          </w:p>
          <w:p w:rsidR="00000000" w:rsidRPr="00176A2E" w:rsidP="00176A2E">
            <w:pPr>
              <w:pStyle w:val="ListBullet"/>
            </w:pPr>
            <w:r w:rsidRPr="00176A2E">
              <w:t xml:space="preserve">pneumatic tools, compressor and spray equipment </w:t>
            </w:r>
          </w:p>
          <w:p w:rsidR="00000000" w:rsidRPr="00176A2E" w:rsidP="00176A2E">
            <w:pPr>
              <w:pStyle w:val="ListBullet"/>
            </w:pPr>
            <w:r w:rsidRPr="00176A2E">
              <w:t xml:space="preserve">clamps </w:t>
            </w:r>
          </w:p>
          <w:p w:rsidR="00000000" w:rsidRPr="00176A2E" w:rsidP="00176A2E">
            <w:pPr>
              <w:pStyle w:val="ListBullet"/>
            </w:pPr>
            <w:r w:rsidRPr="00176A2E">
              <w:t xml:space="preserve">screwdrivers </w:t>
            </w:r>
          </w:p>
          <w:p w:rsidR="00000000" w:rsidRPr="00176A2E" w:rsidP="00176A2E">
            <w:pPr>
              <w:pStyle w:val="ListBullet"/>
            </w:pPr>
            <w:r w:rsidRPr="00176A2E">
              <w:t xml:space="preserve">rollers </w:t>
            </w:r>
          </w:p>
          <w:p w:rsidR="00000000" w:rsidRPr="00176A2E" w:rsidP="00176A2E">
            <w:pPr>
              <w:pStyle w:val="ListBullet"/>
            </w:pPr>
            <w:r w:rsidRPr="00176A2E">
              <w:t xml:space="preserve">laminate trimmers </w:t>
            </w:r>
          </w:p>
          <w:p w:rsidR="00000000" w:rsidRPr="00176A2E" w:rsidP="00176A2E">
            <w:pPr>
              <w:pStyle w:val="ListBullet"/>
            </w:pPr>
            <w:r w:rsidRPr="00176A2E">
              <w:t xml:space="preserve">cutters and hand routers </w:t>
            </w:r>
          </w:p>
          <w:p w:rsidR="00000000" w:rsidRPr="00176A2E" w:rsidP="00176A2E">
            <w:pPr>
              <w:pStyle w:val="ListBullet"/>
            </w:pPr>
            <w:r w:rsidRPr="00176A2E">
              <w:t>sandpaper</w:t>
            </w:r>
          </w:p>
          <w:p w:rsidR="00000000" w:rsidRPr="00176A2E" w:rsidP="00176A2E">
            <w:pPr>
              <w:pStyle w:val="ListBullet"/>
            </w:pPr>
            <w:r w:rsidRPr="00176A2E">
              <w:t xml:space="preserve">wire wool </w:t>
            </w:r>
          </w:p>
          <w:p w:rsidR="00000000" w:rsidP="00176A2E">
            <w:pPr>
              <w:pStyle w:val="ListBullet"/>
              <w:rPr>
                <w:lang w:val="en-NZ"/>
              </w:rPr>
            </w:pPr>
            <w:r w:rsidRPr="00176A2E">
              <w:t>sanding block</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 xml:space="preserve">timber </w:t>
            </w:r>
          </w:p>
          <w:p w:rsidR="00000000" w:rsidRPr="00176A2E" w:rsidP="00176A2E">
            <w:pPr>
              <w:pStyle w:val="ListBullet"/>
            </w:pPr>
            <w:r w:rsidRPr="00176A2E">
              <w:t xml:space="preserve">manufactured board </w:t>
            </w:r>
          </w:p>
          <w:p w:rsidR="00000000" w:rsidRPr="00176A2E" w:rsidP="00176A2E">
            <w:pPr>
              <w:pStyle w:val="ListBullet"/>
            </w:pPr>
            <w:r w:rsidRPr="00176A2E">
              <w:t xml:space="preserve">laminates </w:t>
            </w:r>
          </w:p>
          <w:p w:rsidR="00000000" w:rsidRPr="00176A2E" w:rsidP="00176A2E">
            <w:pPr>
              <w:pStyle w:val="ListBullet"/>
            </w:pPr>
            <w:r w:rsidRPr="00176A2E">
              <w:t xml:space="preserve">timber strips </w:t>
            </w:r>
          </w:p>
          <w:p w:rsidR="00000000" w:rsidRPr="00176A2E" w:rsidP="00176A2E">
            <w:pPr>
              <w:pStyle w:val="ListBullet"/>
            </w:pPr>
            <w:r w:rsidRPr="00176A2E">
              <w:t xml:space="preserve">adhesives </w:t>
            </w:r>
          </w:p>
          <w:p w:rsidR="00000000" w:rsidRPr="00176A2E" w:rsidP="00176A2E">
            <w:pPr>
              <w:pStyle w:val="ListBullet"/>
            </w:pPr>
            <w:r w:rsidRPr="00176A2E">
              <w:t xml:space="preserve">cleaning materials </w:t>
            </w:r>
          </w:p>
          <w:p w:rsidR="00000000" w:rsidP="00176A2E">
            <w:pPr>
              <w:pStyle w:val="ListBullet"/>
              <w:rPr>
                <w:lang w:val="en-NZ"/>
              </w:rPr>
            </w:pPr>
            <w:r w:rsidRPr="00176A2E">
              <w:t>tapes</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Veneers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two or more layers of veneer adhered to each other and referred to as laminates employed to provide:</w:t>
            </w:r>
          </w:p>
          <w:p w:rsidR="00000000" w:rsidRPr="00176A2E" w:rsidP="00176A2E">
            <w:pPr>
              <w:pStyle w:val="ListBullet2"/>
            </w:pPr>
            <w:r w:rsidRPr="00176A2E">
              <w:t>structured strength or shape (e.g. the back of a chair) that also has visual appeal</w:t>
            </w:r>
          </w:p>
          <w:p w:rsidR="00000000" w:rsidP="00176A2E">
            <w:pPr>
              <w:pStyle w:val="ListBullet2"/>
              <w:rPr>
                <w:lang w:val="en-NZ"/>
              </w:rPr>
            </w:pPr>
            <w:r w:rsidRPr="00176A2E">
              <w:t>applied to a laminate of different material for visual appeal whilst m</w:t>
            </w:r>
            <w:r w:rsidRPr="00176A2E">
              <w:t>aintaining other structural benefits</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Suitable joining processes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 xml:space="preserve">mechanical press that uses two flat plates being brought together to press the veneer </w:t>
            </w:r>
            <w:r w:rsidRPr="00176A2E">
              <w:t>to the substrate during the gluing process either purely mechanical using a screw or level action or closed with a hydraulic ram. This method is only used for veneering flat surfaces</w:t>
            </w:r>
          </w:p>
          <w:p w:rsidR="00000000" w:rsidRPr="00176A2E" w:rsidP="00176A2E">
            <w:pPr>
              <w:pStyle w:val="ListBullet"/>
            </w:pPr>
            <w:r w:rsidRPr="00176A2E">
              <w:t>vacuum technique involving the component being veneered being placed in a</w:t>
            </w:r>
            <w:r w:rsidRPr="00176A2E">
              <w:t xml:space="preserve"> form of bag from which the air is extracted. This method is favoured for veneering curved surfaces and also by smaller operators because of its flexibility</w:t>
            </w:r>
          </w:p>
          <w:p w:rsidR="00000000" w:rsidP="00176A2E">
            <w:pPr>
              <w:pStyle w:val="ListBullet"/>
              <w:rPr>
                <w:lang w:val="en-NZ"/>
              </w:rPr>
            </w:pPr>
            <w:r w:rsidRPr="00176A2E">
              <w:t>hot glue hammering that is a traditional method of veneering involving using hot glue on the surfac</w:t>
            </w:r>
            <w:r w:rsidRPr="00176A2E">
              <w:t>es being veneered and then hammering the veneer to the subsurface with a hammer</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Joining to adjacent veneers includes:</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 xml:space="preserve">butting two right angle edges together then ‘stitching’ the veneer using a hot melt glue or tape (commonly used for flat surfaces) </w:t>
            </w:r>
          </w:p>
          <w:p w:rsidR="00000000" w:rsidP="00176A2E">
            <w:pPr>
              <w:pStyle w:val="ListBullet"/>
              <w:rPr>
                <w:lang w:val="en-NZ"/>
              </w:rPr>
            </w:pPr>
            <w:r w:rsidRPr="00176A2E">
              <w:t>usin</w:t>
            </w:r>
            <w:r w:rsidRPr="00176A2E">
              <w:t>g a scarf joint then gluing the surfaces together (commonly used on curved surfaces)</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Style and edge finish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 xml:space="preserve">solid timber </w:t>
            </w:r>
          </w:p>
          <w:p w:rsidR="00000000" w:rsidP="00176A2E">
            <w:pPr>
              <w:pStyle w:val="ListBullet"/>
              <w:rPr>
                <w:lang w:val="en-NZ"/>
              </w:rPr>
            </w:pPr>
            <w:r w:rsidRPr="00176A2E">
              <w:t>veneer to cover the exposed edge</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Commonwealth, state or territory legislation and regulations</w:t>
            </w:r>
          </w:p>
          <w:p w:rsidR="00000000" w:rsidRPr="00176A2E" w:rsidP="00176A2E">
            <w:pPr>
              <w:pStyle w:val="ListBullet"/>
            </w:pPr>
            <w:r w:rsidRPr="00176A2E">
              <w:t>or</w:t>
            </w:r>
            <w:r w:rsidRPr="00176A2E">
              <w:t>ganisational safety policies and procedures</w:t>
            </w:r>
          </w:p>
          <w:p w:rsidR="00000000" w:rsidRPr="00176A2E" w:rsidP="00176A2E">
            <w:pPr>
              <w:pStyle w:val="ListBullet"/>
            </w:pPr>
            <w:r w:rsidRPr="00176A2E">
              <w:t>the use of personal protective equipment and clothing</w:t>
            </w:r>
          </w:p>
          <w:p w:rsidR="00000000" w:rsidRPr="00176A2E" w:rsidP="00176A2E">
            <w:pPr>
              <w:pStyle w:val="ListBullet"/>
            </w:pPr>
            <w:r w:rsidRPr="00176A2E">
              <w:t>firefighting equipment</w:t>
            </w:r>
          </w:p>
          <w:p w:rsidR="00000000" w:rsidRPr="00176A2E" w:rsidP="00176A2E">
            <w:pPr>
              <w:pStyle w:val="ListBullet"/>
            </w:pPr>
            <w:r w:rsidRPr="00176A2E">
              <w:t>first aid equipment</w:t>
            </w:r>
          </w:p>
          <w:p w:rsidR="00000000" w:rsidRPr="00176A2E" w:rsidP="00176A2E">
            <w:pPr>
              <w:pStyle w:val="ListBullet"/>
            </w:pPr>
            <w:r w:rsidRPr="00176A2E">
              <w:t>hazard and risk control and elimination of hazardous materials and substances</w:t>
            </w:r>
          </w:p>
          <w:p w:rsidR="00000000" w:rsidP="00176A2E">
            <w:pPr>
              <w:pStyle w:val="ListBullet"/>
              <w:rPr>
                <w:lang w:val="en-NZ"/>
              </w:rPr>
            </w:pPr>
            <w:r w:rsidRPr="00176A2E">
              <w:t>manual handling, including lifting and carrying</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work instructions</w:t>
            </w:r>
          </w:p>
          <w:p w:rsidR="00000000" w:rsidRPr="00176A2E" w:rsidP="00176A2E">
            <w:pPr>
              <w:pStyle w:val="ListBullet"/>
            </w:pPr>
            <w:r w:rsidRPr="00176A2E">
              <w:t xml:space="preserve">standard operating procedures </w:t>
            </w:r>
          </w:p>
          <w:p w:rsidR="00000000" w:rsidP="00176A2E">
            <w:pPr>
              <w:pStyle w:val="ListBullet"/>
              <w:rPr>
                <w:lang w:val="en-NZ"/>
              </w:rPr>
            </w:pPr>
            <w:r w:rsidRPr="00176A2E">
              <w:t>written, verbal or computer-based procedures</w:t>
            </w:r>
          </w:p>
        </w:tc>
      </w:tr>
      <w:tr w:rsidTr="00176A2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6A2E">
            <w:pPr>
              <w:pStyle w:val="BodyText"/>
              <w:rPr>
                <w:lang w:val="en-NZ"/>
              </w:rPr>
            </w:pPr>
            <w:r w:rsidRPr="00176A2E">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176A2E" w:rsidP="00176A2E">
            <w:pPr>
              <w:pStyle w:val="ListBullet"/>
            </w:pPr>
            <w:r w:rsidRPr="00176A2E">
              <w:t>legal, organisational and site guidelines, policies a</w:t>
            </w:r>
            <w:r w:rsidRPr="00176A2E">
              <w:t>nd procedures relating to own role and responsibility</w:t>
            </w:r>
          </w:p>
          <w:p w:rsidR="00000000" w:rsidRPr="00176A2E" w:rsidP="00176A2E">
            <w:pPr>
              <w:pStyle w:val="ListBullet"/>
            </w:pPr>
            <w:r w:rsidRPr="00176A2E">
              <w:t>quality assurance</w:t>
            </w:r>
          </w:p>
          <w:p w:rsidR="00000000" w:rsidRPr="00176A2E" w:rsidP="00176A2E">
            <w:pPr>
              <w:pStyle w:val="ListBullet"/>
            </w:pPr>
            <w:r w:rsidRPr="00176A2E">
              <w:t>procedural manuals</w:t>
            </w:r>
          </w:p>
          <w:p w:rsidR="00000000" w:rsidRPr="00176A2E" w:rsidP="00176A2E">
            <w:pPr>
              <w:pStyle w:val="ListBullet"/>
            </w:pPr>
            <w:r w:rsidRPr="00176A2E">
              <w:t>quality and continuous improvement processes and standards</w:t>
            </w:r>
          </w:p>
          <w:p w:rsidR="00000000" w:rsidRPr="00176A2E" w:rsidP="00176A2E">
            <w:pPr>
              <w:pStyle w:val="ListBullet"/>
            </w:pPr>
            <w:r w:rsidRPr="00176A2E">
              <w:t>ethical standards</w:t>
            </w:r>
          </w:p>
          <w:p w:rsidR="00000000" w:rsidRPr="00176A2E" w:rsidP="00176A2E">
            <w:pPr>
              <w:pStyle w:val="ListBullet"/>
            </w:pPr>
            <w:r w:rsidRPr="00176A2E">
              <w:t>recording and reporting</w:t>
            </w:r>
          </w:p>
          <w:p w:rsidR="00000000" w:rsidRPr="00176A2E" w:rsidP="00176A2E">
            <w:pPr>
              <w:pStyle w:val="ListBullet"/>
            </w:pPr>
            <w:r w:rsidRPr="00176A2E">
              <w:t>access and equity principles and practices</w:t>
            </w:r>
          </w:p>
          <w:p w:rsidR="00000000" w:rsidRPr="00176A2E" w:rsidP="00176A2E">
            <w:pPr>
              <w:pStyle w:val="ListBullet"/>
            </w:pPr>
            <w:r w:rsidRPr="00176A2E">
              <w:t>equipment use, maintenance and storage</w:t>
            </w:r>
          </w:p>
          <w:p w:rsidR="00000000" w:rsidRPr="00176A2E" w:rsidP="00176A2E">
            <w:pPr>
              <w:pStyle w:val="ListBullet"/>
            </w:pPr>
            <w:r w:rsidRPr="00176A2E">
              <w:t>environmental management (waste disposal, recycling and re-use guidelines)</w:t>
            </w:r>
          </w:p>
        </w:tc>
      </w:tr>
    </w:tbl>
    <w:p w:rsidR="00000000" w:rsidRPr="00176A2E" w:rsidP="00176A2E">
      <w:pPr>
        <w:pStyle w:val="BodyText"/>
      </w:pPr>
    </w:p>
    <w:p w:rsidR="00000000" w:rsidRPr="00176A2E" w:rsidP="00176A2E">
      <w:pPr>
        <w:pStyle w:val="AllowPageBreak"/>
      </w:pPr>
    </w:p>
    <w:p w:rsidR="00000000" w:rsidRPr="00176A2E" w:rsidP="00176A2E">
      <w:pPr>
        <w:pStyle w:val="Heading1"/>
      </w:pPr>
      <w:bookmarkStart w:id="9" w:name="O_635307"/>
      <w:bookmarkEnd w:id="9"/>
      <w:r w:rsidRPr="00176A2E">
        <w:t>Unit Mapping Information</w:t>
      </w:r>
    </w:p>
    <w:p w:rsidR="00000000" w:rsidRPr="00176A2E" w:rsidP="00D56F00">
      <w:pPr>
        <w:pStyle w:val="BodyText"/>
      </w:pPr>
      <w:r w:rsidRPr="00176A2E">
        <w:t>Supersedes and is equivalent to LMFFM4008A Produce timber veneered components for custom furniture</w:t>
      </w:r>
      <w:r w:rsidRPr="00176A2E">
        <w:t>.</w:t>
      </w:r>
    </w:p>
    <w:p w:rsidR="00000000" w:rsidRPr="00176A2E" w:rsidP="00176A2E">
      <w:pPr>
        <w:pStyle w:val="Heading1"/>
      </w:pPr>
      <w:bookmarkStart w:id="10" w:name="O_635300"/>
      <w:bookmarkEnd w:id="10"/>
      <w:r w:rsidRPr="00176A2E">
        <w:t>Links</w:t>
      </w:r>
    </w:p>
    <w:p w:rsidR="00000000" w:rsidRPr="00176A2E" w:rsidP="00D56F00">
      <w:pPr>
        <w:pStyle w:val="BodyText"/>
      </w:pPr>
      <w:r w:rsidRPr="00176A2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8146E">
        <w:rPr>
          <w:rStyle w:val="Hyperlink"/>
        </w:rPr>
        <w:t>https://vetnet.gov.au/Pages/TrainingDocs.aspx?q=0601ab95-583a-4e93-b2d4-cfb27b03ed73</w:t>
      </w:r>
      <w:r>
        <w:fldChar w:fldCharType="end"/>
      </w:r>
    </w:p>
    <w:p w:rsidR="00000000" w:rsidRPr="00176A2E" w:rsidP="00176A2E"/>
    <w:sectPr w:rsidSect="00176A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E" w:rsidRPr="00D56F00" w:rsidP="00D56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00" w:rsidP="00176A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6F00" w:rsidP="00176A2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6F00" w:rsidP="00176A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A2E" w:rsidRPr="00D56F00" w:rsidP="00D56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A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F00" w:rsidRPr="002D2AF8" w:rsidP="00176A2E">
    <w:pPr>
      <w:pStyle w:val="Header"/>
      <w:framePr w:wrap="around"/>
    </w:pPr>
    <w:r>
      <w:fldChar w:fldCharType="begin"/>
    </w:r>
    <w:r>
      <w:instrText xml:space="preserve"> TITLE   \* MERGEFORMAT </w:instrText>
    </w:r>
    <w:r>
      <w:fldChar w:fldCharType="separate"/>
    </w:r>
    <w:r>
      <w:t>MSFFM4004 Produce timber veneered components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D56F00" w:rsidP="00176A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E60C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0A4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4E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A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A2E"/>
    <w:pPr>
      <w:spacing w:before="360" w:after="60"/>
      <w:outlineLvl w:val="0"/>
    </w:pPr>
    <w:rPr>
      <w:sz w:val="32"/>
    </w:rPr>
  </w:style>
  <w:style w:type="paragraph" w:styleId="Heading2">
    <w:name w:val="heading 2"/>
    <w:basedOn w:val="HeadingBase"/>
    <w:next w:val="BodyText"/>
    <w:link w:val="Heading2Char"/>
    <w:qFormat/>
    <w:rsid w:val="00176A2E"/>
    <w:pPr>
      <w:keepLines/>
      <w:spacing w:before="240" w:after="120"/>
      <w:outlineLvl w:val="1"/>
    </w:pPr>
    <w:rPr>
      <w:sz w:val="28"/>
      <w:szCs w:val="40"/>
    </w:rPr>
  </w:style>
  <w:style w:type="paragraph" w:styleId="Heading3">
    <w:name w:val="heading 3"/>
    <w:basedOn w:val="HeadingBase"/>
    <w:next w:val="BodyText"/>
    <w:link w:val="Heading3Char"/>
    <w:qFormat/>
    <w:rsid w:val="00176A2E"/>
    <w:pPr>
      <w:spacing w:before="180" w:after="120"/>
      <w:outlineLvl w:val="2"/>
    </w:pPr>
    <w:rPr>
      <w:spacing w:val="-10"/>
      <w:kern w:val="32"/>
    </w:rPr>
  </w:style>
  <w:style w:type="paragraph" w:styleId="Heading4">
    <w:name w:val="heading 4"/>
    <w:basedOn w:val="HeadingBase"/>
    <w:next w:val="BodyText"/>
    <w:link w:val="Heading4Char"/>
    <w:qFormat/>
    <w:rsid w:val="00176A2E"/>
    <w:pPr>
      <w:spacing w:before="160" w:after="120"/>
      <w:outlineLvl w:val="3"/>
    </w:pPr>
    <w:rPr>
      <w:sz w:val="22"/>
    </w:rPr>
  </w:style>
  <w:style w:type="paragraph" w:styleId="Heading5">
    <w:name w:val="heading 5"/>
    <w:basedOn w:val="HeadingBase"/>
    <w:next w:val="Normal"/>
    <w:link w:val="Heading5Char"/>
    <w:qFormat/>
    <w:rsid w:val="00176A2E"/>
    <w:pPr>
      <w:spacing w:before="80"/>
      <w:outlineLvl w:val="4"/>
    </w:pPr>
    <w:rPr>
      <w:color w:val="918585"/>
      <w:sz w:val="20"/>
    </w:rPr>
  </w:style>
  <w:style w:type="paragraph" w:styleId="Heading6">
    <w:name w:val="heading 6"/>
    <w:basedOn w:val="HeadingBase"/>
    <w:next w:val="Normal"/>
    <w:link w:val="Heading6Char"/>
    <w:qFormat/>
    <w:rsid w:val="00176A2E"/>
    <w:pPr>
      <w:spacing w:before="60"/>
      <w:outlineLvl w:val="5"/>
    </w:pPr>
    <w:rPr>
      <w:color w:val="918585"/>
      <w:sz w:val="20"/>
    </w:rPr>
  </w:style>
  <w:style w:type="paragraph" w:styleId="Heading7">
    <w:name w:val="heading 7"/>
    <w:basedOn w:val="Normal"/>
    <w:next w:val="Normal"/>
    <w:link w:val="Heading7Char"/>
    <w:qFormat/>
    <w:rsid w:val="00176A2E"/>
    <w:pPr>
      <w:ind w:left="720"/>
      <w:outlineLvl w:val="6"/>
    </w:pPr>
    <w:rPr>
      <w:i/>
    </w:rPr>
  </w:style>
  <w:style w:type="paragraph" w:styleId="Heading8">
    <w:name w:val="heading 8"/>
    <w:basedOn w:val="Normal"/>
    <w:next w:val="Normal"/>
    <w:link w:val="Heading8Char"/>
    <w:qFormat/>
    <w:rsid w:val="00176A2E"/>
    <w:pPr>
      <w:ind w:left="720"/>
      <w:outlineLvl w:val="7"/>
    </w:pPr>
    <w:rPr>
      <w:i/>
    </w:rPr>
  </w:style>
  <w:style w:type="paragraph" w:styleId="Heading9">
    <w:name w:val="heading 9"/>
    <w:basedOn w:val="Normal"/>
    <w:next w:val="Normal"/>
    <w:link w:val="Heading9Char"/>
    <w:qFormat/>
    <w:rsid w:val="00176A2E"/>
    <w:pPr>
      <w:ind w:left="720"/>
      <w:outlineLvl w:val="8"/>
    </w:pPr>
    <w:rPr>
      <w:i/>
    </w:rPr>
  </w:style>
  <w:style w:type="character" w:default="1" w:styleId="DefaultParagraphFont">
    <w:name w:val="Default Paragraph Font"/>
    <w:uiPriority w:val="1"/>
    <w:unhideWhenUsed/>
    <w:rsid w:val="00176A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A2E"/>
  </w:style>
  <w:style w:type="character" w:customStyle="1" w:styleId="Heading1Char">
    <w:name w:val="Heading 1 Char"/>
    <w:basedOn w:val="DefaultParagraphFont"/>
    <w:link w:val="Heading1"/>
    <w:rsid w:val="00176A2E"/>
    <w:rPr>
      <w:rFonts w:ascii="Times New Roman" w:eastAsia="Times New Roman" w:hAnsi="Times New Roman" w:cs="Times New Roman"/>
      <w:b/>
      <w:sz w:val="32"/>
      <w:szCs w:val="20"/>
      <w:lang w:eastAsia="en-US"/>
    </w:rPr>
  </w:style>
  <w:style w:type="paragraph" w:styleId="BodyText">
    <w:name w:val="Body Text"/>
    <w:basedOn w:val="Normal"/>
    <w:link w:val="BodyTextChar"/>
    <w:rsid w:val="00176A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A2E"/>
    <w:rPr>
      <w:rFonts w:ascii="Times New Roman" w:eastAsia="Times New Roman" w:hAnsi="Times New Roman" w:cs="Times New Roman"/>
      <w:sz w:val="24"/>
      <w:lang w:eastAsia="en-US"/>
    </w:rPr>
  </w:style>
  <w:style w:type="paragraph" w:styleId="ListBullet">
    <w:name w:val="List Bullet"/>
    <w:basedOn w:val="List"/>
    <w:rsid w:val="00176A2E"/>
    <w:pPr>
      <w:numPr>
        <w:numId w:val="12"/>
      </w:numPr>
      <w:tabs>
        <w:tab w:val="clear" w:pos="340"/>
      </w:tabs>
      <w:spacing w:before="40" w:after="40"/>
    </w:pPr>
  </w:style>
  <w:style w:type="character" w:customStyle="1" w:styleId="SpecialBold">
    <w:name w:val="Special Bold"/>
    <w:basedOn w:val="DefaultParagraphFont"/>
    <w:rsid w:val="00176A2E"/>
    <w:rPr>
      <w:b/>
      <w:spacing w:val="0"/>
    </w:rPr>
  </w:style>
  <w:style w:type="paragraph" w:styleId="ListBullet2">
    <w:name w:val="List Bullet 2"/>
    <w:basedOn w:val="List2"/>
    <w:rsid w:val="00176A2E"/>
    <w:pPr>
      <w:numPr>
        <w:numId w:val="13"/>
      </w:numPr>
      <w:tabs>
        <w:tab w:val="clear" w:pos="680"/>
      </w:tabs>
    </w:pPr>
  </w:style>
  <w:style w:type="paragraph" w:customStyle="1" w:styleId="SuperHeading">
    <w:name w:val="SuperHeading"/>
    <w:basedOn w:val="Normal"/>
    <w:rsid w:val="00176A2E"/>
    <w:pPr>
      <w:spacing w:before="240" w:after="120"/>
      <w:outlineLvl w:val="0"/>
    </w:pPr>
    <w:rPr>
      <w:rFonts w:ascii="Times New Roman" w:hAnsi="Times New Roman"/>
      <w:b/>
      <w:sz w:val="32"/>
    </w:rPr>
  </w:style>
  <w:style w:type="paragraph" w:customStyle="1" w:styleId="AllowPageBreak">
    <w:name w:val="AllowPageBreak"/>
    <w:rsid w:val="00176A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6A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A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A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A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A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A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A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A2E"/>
    <w:rPr>
      <w:rFonts w:ascii="Courier New" w:eastAsia="Times New Roman" w:hAnsi="Courier New" w:cs="Times New Roman"/>
      <w:i/>
      <w:szCs w:val="20"/>
      <w:lang w:eastAsia="en-US"/>
    </w:rPr>
  </w:style>
  <w:style w:type="paragraph" w:customStyle="1" w:styleId="HeadingBase">
    <w:name w:val="Heading Base"/>
    <w:rsid w:val="00176A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A2E"/>
    <w:pPr>
      <w:tabs>
        <w:tab w:val="right" w:leader="dot" w:pos="9072"/>
      </w:tabs>
      <w:ind w:left="567"/>
    </w:pPr>
    <w:rPr>
      <w:szCs w:val="22"/>
    </w:rPr>
  </w:style>
  <w:style w:type="paragraph" w:customStyle="1" w:styleId="TOCBase">
    <w:name w:val="TOC Base"/>
    <w:rsid w:val="00176A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A2E"/>
    <w:pPr>
      <w:tabs>
        <w:tab w:val="right" w:leader="dot" w:pos="9072"/>
      </w:tabs>
      <w:spacing w:before="40" w:after="40"/>
      <w:ind w:left="284"/>
    </w:pPr>
    <w:rPr>
      <w:rFonts w:ascii="Times New Roman" w:hAnsi="Times New Roman"/>
    </w:rPr>
  </w:style>
  <w:style w:type="paragraph" w:styleId="TOC1">
    <w:name w:val="toc 1"/>
    <w:basedOn w:val="TOCBase"/>
    <w:next w:val="Normal"/>
    <w:rsid w:val="00176A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A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A2E"/>
    <w:rPr>
      <w:rFonts w:ascii="Times New Roman" w:eastAsia="Times New Roman" w:hAnsi="Times New Roman" w:cs="Times New Roman"/>
      <w:sz w:val="16"/>
      <w:lang w:eastAsia="en-US"/>
    </w:rPr>
  </w:style>
  <w:style w:type="paragraph" w:styleId="Title">
    <w:name w:val="Title"/>
    <w:basedOn w:val="HeadingBase"/>
    <w:link w:val="TitleChar"/>
    <w:qFormat/>
    <w:rsid w:val="00176A2E"/>
    <w:pPr>
      <w:spacing w:before="5040"/>
      <w:jc w:val="center"/>
    </w:pPr>
    <w:rPr>
      <w:sz w:val="48"/>
      <w:szCs w:val="72"/>
      <w:lang w:val="en-US"/>
    </w:rPr>
  </w:style>
  <w:style w:type="character" w:customStyle="1" w:styleId="TitleChar">
    <w:name w:val="Title Char"/>
    <w:basedOn w:val="DefaultParagraphFont"/>
    <w:link w:val="Title"/>
    <w:rsid w:val="00176A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A2E"/>
    <w:pPr>
      <w:tabs>
        <w:tab w:val="left" w:pos="3600"/>
        <w:tab w:val="left" w:pos="3958"/>
      </w:tabs>
    </w:pPr>
  </w:style>
  <w:style w:type="paragraph" w:styleId="List">
    <w:name w:val="List"/>
    <w:basedOn w:val="BodyText"/>
    <w:next w:val="BodyText"/>
    <w:rsid w:val="00176A2E"/>
    <w:pPr>
      <w:tabs>
        <w:tab w:val="left" w:pos="340"/>
      </w:tabs>
      <w:spacing w:before="60" w:after="60"/>
      <w:ind w:left="340" w:hanging="340"/>
    </w:pPr>
  </w:style>
  <w:style w:type="paragraph" w:customStyle="1" w:styleId="Note">
    <w:name w:val="Note"/>
    <w:basedOn w:val="BodyText"/>
    <w:rsid w:val="00176A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A2E"/>
    <w:pPr>
      <w:framePr w:wrap="auto" w:hAnchor="text" w:y="6049"/>
    </w:pPr>
    <w:rPr>
      <w:color w:val="000000"/>
      <w:sz w:val="40"/>
    </w:rPr>
  </w:style>
  <w:style w:type="paragraph" w:customStyle="1" w:styleId="TOCTitle">
    <w:name w:val="TOCTitle"/>
    <w:basedOn w:val="Heading1"/>
    <w:rsid w:val="00176A2E"/>
    <w:pPr>
      <w:spacing w:after="240"/>
      <w:jc w:val="center"/>
      <w:outlineLvl w:val="9"/>
    </w:pPr>
    <w:rPr>
      <w:caps/>
    </w:rPr>
  </w:style>
  <w:style w:type="paragraph" w:customStyle="1" w:styleId="Version">
    <w:name w:val="Version"/>
    <w:rsid w:val="00176A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6A2E"/>
    <w:pPr>
      <w:keepNext w:val="0"/>
      <w:tabs>
        <w:tab w:val="right" w:pos="4176"/>
      </w:tabs>
      <w:ind w:left="198" w:hanging="198"/>
    </w:pPr>
    <w:rPr>
      <w:rFonts w:ascii="Garamond" w:hAnsi="Garamond"/>
    </w:rPr>
  </w:style>
  <w:style w:type="paragraph" w:styleId="IndexHeading">
    <w:name w:val="index heading"/>
    <w:basedOn w:val="Normal"/>
    <w:next w:val="Index1"/>
    <w:semiHidden/>
    <w:rsid w:val="00176A2E"/>
    <w:pPr>
      <w:spacing w:before="120" w:after="120"/>
    </w:pPr>
    <w:rPr>
      <w:rFonts w:ascii="Arial" w:hAnsi="Arial"/>
      <w:b/>
      <w:color w:val="918585"/>
      <w:sz w:val="24"/>
    </w:rPr>
  </w:style>
  <w:style w:type="paragraph" w:styleId="Header">
    <w:name w:val="header"/>
    <w:basedOn w:val="Normal"/>
    <w:link w:val="HeaderChar"/>
    <w:rsid w:val="00176A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A2E"/>
    <w:rPr>
      <w:rFonts w:ascii="Times New Roman" w:eastAsia="Times New Roman" w:hAnsi="Times New Roman" w:cs="Times New Roman"/>
      <w:sz w:val="16"/>
      <w:szCs w:val="20"/>
      <w:lang w:val="en-GB" w:eastAsia="en-US"/>
    </w:rPr>
  </w:style>
  <w:style w:type="paragraph" w:customStyle="1" w:styleId="Chapter">
    <w:name w:val="Chapter"/>
    <w:basedOn w:val="Normal"/>
    <w:rsid w:val="00176A2E"/>
    <w:pPr>
      <w:spacing w:before="240"/>
    </w:pPr>
    <w:rPr>
      <w:rFonts w:ascii="Times New Roman" w:hAnsi="Times New Roman"/>
      <w:smallCaps/>
      <w:spacing w:val="80"/>
      <w:sz w:val="28"/>
    </w:rPr>
  </w:style>
  <w:style w:type="paragraph" w:customStyle="1" w:styleId="InChapter">
    <w:name w:val="InChapter"/>
    <w:basedOn w:val="Heading3"/>
    <w:rsid w:val="00176A2E"/>
    <w:pPr>
      <w:spacing w:after="240"/>
      <w:outlineLvl w:val="9"/>
    </w:pPr>
    <w:rPr>
      <w:noProof/>
    </w:rPr>
  </w:style>
  <w:style w:type="paragraph" w:styleId="Index2">
    <w:name w:val="index 2"/>
    <w:basedOn w:val="Normal"/>
    <w:next w:val="Normal"/>
    <w:semiHidden/>
    <w:rsid w:val="00176A2E"/>
    <w:pPr>
      <w:tabs>
        <w:tab w:val="right" w:pos="4176"/>
      </w:tabs>
      <w:ind w:left="568" w:hanging="284"/>
    </w:pPr>
    <w:rPr>
      <w:rFonts w:ascii="Garamond" w:hAnsi="Garamond"/>
    </w:rPr>
  </w:style>
  <w:style w:type="paragraph" w:customStyle="1" w:styleId="Byline">
    <w:name w:val="Byline"/>
    <w:rsid w:val="00176A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A2E"/>
    <w:pPr>
      <w:tabs>
        <w:tab w:val="clear" w:pos="3600"/>
        <w:tab w:val="clear" w:pos="3958"/>
      </w:tabs>
      <w:jc w:val="right"/>
    </w:pPr>
  </w:style>
  <w:style w:type="character" w:styleId="Emphasis">
    <w:name w:val="Emphasis"/>
    <w:basedOn w:val="DefaultParagraphFont"/>
    <w:qFormat/>
    <w:rsid w:val="00176A2E"/>
    <w:rPr>
      <w:i/>
    </w:rPr>
  </w:style>
  <w:style w:type="paragraph" w:styleId="Caption">
    <w:name w:val="caption"/>
    <w:basedOn w:val="BodyText"/>
    <w:next w:val="Normal"/>
    <w:qFormat/>
    <w:rsid w:val="00176A2E"/>
    <w:pPr>
      <w:framePr w:w="2268" w:hSpace="181" w:vSpace="181" w:wrap="around" w:vAnchor="text" w:hAnchor="page" w:x="1135" w:y="285" w:anchorLock="1"/>
    </w:pPr>
    <w:rPr>
      <w:i/>
    </w:rPr>
  </w:style>
  <w:style w:type="paragraph" w:customStyle="1" w:styleId="MiniTOCTitle">
    <w:name w:val="MiniTOCTitle"/>
    <w:basedOn w:val="Heading4"/>
    <w:rsid w:val="00176A2E"/>
    <w:pPr>
      <w:spacing w:before="240"/>
      <w:outlineLvl w:val="9"/>
    </w:pPr>
    <w:rPr>
      <w:noProof/>
      <w:sz w:val="24"/>
    </w:rPr>
  </w:style>
  <w:style w:type="paragraph" w:customStyle="1" w:styleId="MiniTOCItem">
    <w:name w:val="MiniTOCItem"/>
    <w:basedOn w:val="ListBullet"/>
    <w:rsid w:val="00176A2E"/>
    <w:pPr>
      <w:numPr>
        <w:numId w:val="0"/>
      </w:numPr>
      <w:tabs>
        <w:tab w:val="right" w:leader="dot" w:pos="6521"/>
      </w:tabs>
      <w:spacing w:before="0" w:after="0"/>
    </w:pPr>
  </w:style>
  <w:style w:type="paragraph" w:customStyle="1" w:styleId="TOFTitle">
    <w:name w:val="TOFTitle"/>
    <w:basedOn w:val="TOCTitle"/>
    <w:rsid w:val="00176A2E"/>
  </w:style>
  <w:style w:type="paragraph" w:styleId="TableofFigures">
    <w:name w:val="table of figures"/>
    <w:basedOn w:val="Normal"/>
    <w:next w:val="Normal"/>
    <w:semiHidden/>
    <w:rsid w:val="00176A2E"/>
    <w:pPr>
      <w:tabs>
        <w:tab w:val="right" w:leader="dot" w:pos="9072"/>
      </w:tabs>
      <w:ind w:left="970" w:hanging="403"/>
    </w:pPr>
    <w:rPr>
      <w:rFonts w:ascii="Times New Roman" w:hAnsi="Times New Roman"/>
      <w:b/>
    </w:rPr>
  </w:style>
  <w:style w:type="paragraph" w:styleId="ListNumber">
    <w:name w:val="List Number"/>
    <w:basedOn w:val="List"/>
    <w:rsid w:val="00176A2E"/>
    <w:pPr>
      <w:numPr>
        <w:numId w:val="15"/>
      </w:numPr>
      <w:tabs>
        <w:tab w:val="clear" w:pos="340"/>
      </w:tabs>
    </w:pPr>
  </w:style>
  <w:style w:type="character" w:customStyle="1" w:styleId="WingdingSymbols">
    <w:name w:val="Wingding Symbols"/>
    <w:rsid w:val="00176A2E"/>
    <w:rPr>
      <w:rFonts w:ascii="Wingdings" w:hAnsi="Wingdings"/>
    </w:rPr>
  </w:style>
  <w:style w:type="paragraph" w:customStyle="1" w:styleId="TableHeading">
    <w:name w:val="Table Heading"/>
    <w:basedOn w:val="HeadingBase"/>
    <w:rsid w:val="00176A2E"/>
    <w:pPr>
      <w:keepLines/>
      <w:pBdr>
        <w:bottom w:val="single" w:sz="6" w:space="1" w:color="918585"/>
      </w:pBdr>
      <w:spacing w:before="240"/>
    </w:pPr>
  </w:style>
  <w:style w:type="character" w:customStyle="1" w:styleId="HotSpot">
    <w:name w:val="HotSpot"/>
    <w:rsid w:val="00176A2E"/>
    <w:rPr>
      <w:color w:val="0033CC"/>
      <w:u w:val="none"/>
    </w:rPr>
  </w:style>
  <w:style w:type="paragraph" w:customStyle="1" w:styleId="BodyTextRight">
    <w:name w:val="Body Text Right"/>
    <w:basedOn w:val="BodyText"/>
    <w:rsid w:val="00176A2E"/>
    <w:pPr>
      <w:spacing w:before="0" w:after="0"/>
      <w:jc w:val="right"/>
    </w:pPr>
  </w:style>
  <w:style w:type="paragraph" w:styleId="Index3">
    <w:name w:val="index 3"/>
    <w:basedOn w:val="ListNumber2"/>
    <w:next w:val="Normal"/>
    <w:semiHidden/>
    <w:rsid w:val="00176A2E"/>
    <w:pPr>
      <w:numPr>
        <w:numId w:val="0"/>
      </w:numPr>
      <w:tabs>
        <w:tab w:val="right" w:leader="dot" w:pos="4176"/>
      </w:tabs>
    </w:pPr>
  </w:style>
  <w:style w:type="paragraph" w:styleId="ListNumber2">
    <w:name w:val="List Number 2"/>
    <w:basedOn w:val="List2"/>
    <w:rsid w:val="00176A2E"/>
    <w:pPr>
      <w:numPr>
        <w:numId w:val="10"/>
      </w:numPr>
      <w:tabs>
        <w:tab w:val="clear" w:pos="1060"/>
      </w:tabs>
    </w:pPr>
  </w:style>
  <w:style w:type="paragraph" w:customStyle="1" w:styleId="MarginNote">
    <w:name w:val="Margin Note"/>
    <w:basedOn w:val="BodyText"/>
    <w:rsid w:val="00176A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A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A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A2E"/>
    <w:rPr>
      <w:sz w:val="32"/>
    </w:rPr>
  </w:style>
  <w:style w:type="paragraph" w:customStyle="1" w:styleId="HeadingProcedure">
    <w:name w:val="Heading Procedure"/>
    <w:basedOn w:val="HeadingBase"/>
    <w:next w:val="Normal"/>
    <w:rsid w:val="00176A2E"/>
    <w:pPr>
      <w:tabs>
        <w:tab w:val="left" w:pos="0"/>
      </w:tabs>
      <w:spacing w:before="120" w:after="60"/>
    </w:pPr>
    <w:rPr>
      <w:i/>
      <w:color w:val="918585"/>
      <w:sz w:val="22"/>
    </w:rPr>
  </w:style>
  <w:style w:type="paragraph" w:customStyle="1" w:styleId="TableBodyText">
    <w:name w:val="Table Body Text"/>
    <w:basedOn w:val="BodyText"/>
    <w:rsid w:val="00176A2E"/>
    <w:pPr>
      <w:spacing w:before="60" w:after="60"/>
    </w:pPr>
  </w:style>
  <w:style w:type="paragraph" w:styleId="ListContinue">
    <w:name w:val="List Continue"/>
    <w:basedOn w:val="List"/>
    <w:rsid w:val="00176A2E"/>
    <w:pPr>
      <w:ind w:firstLine="0"/>
    </w:pPr>
  </w:style>
  <w:style w:type="paragraph" w:customStyle="1" w:styleId="ListNote">
    <w:name w:val="List Note"/>
    <w:basedOn w:val="List"/>
    <w:rsid w:val="00176A2E"/>
    <w:pPr>
      <w:pBdr>
        <w:top w:val="single" w:sz="6" w:space="2" w:color="918585"/>
        <w:bottom w:val="single" w:sz="6" w:space="2" w:color="918585"/>
      </w:pBdr>
      <w:tabs>
        <w:tab w:val="left" w:pos="1021"/>
      </w:tabs>
      <w:ind w:firstLine="0"/>
    </w:pPr>
  </w:style>
  <w:style w:type="paragraph" w:customStyle="1" w:styleId="Warning">
    <w:name w:val="Warning"/>
    <w:basedOn w:val="BodyText"/>
    <w:rsid w:val="00176A2E"/>
    <w:pPr>
      <w:shd w:val="clear" w:color="auto" w:fill="D9D9D9"/>
      <w:tabs>
        <w:tab w:val="left" w:pos="992"/>
      </w:tabs>
      <w:ind w:left="119" w:right="119"/>
    </w:pPr>
    <w:rPr>
      <w:sz w:val="20"/>
    </w:rPr>
  </w:style>
  <w:style w:type="paragraph" w:customStyle="1" w:styleId="MarginIcons">
    <w:name w:val="Margin Icons"/>
    <w:basedOn w:val="BodyText"/>
    <w:rsid w:val="00176A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A2E"/>
    <w:rPr>
      <w:rFonts w:ascii="Courier New" w:hAnsi="Courier New"/>
    </w:rPr>
  </w:style>
  <w:style w:type="paragraph" w:customStyle="1" w:styleId="NoteBullet">
    <w:name w:val="Note Bullet"/>
    <w:basedOn w:val="Note"/>
    <w:rsid w:val="00176A2E"/>
    <w:pPr>
      <w:tabs>
        <w:tab w:val="clear" w:pos="680"/>
      </w:tabs>
      <w:spacing w:before="60" w:after="60"/>
    </w:pPr>
  </w:style>
  <w:style w:type="paragraph" w:customStyle="1" w:styleId="SubHeading2">
    <w:name w:val="SubHeading2"/>
    <w:basedOn w:val="HeadingBase"/>
    <w:rsid w:val="00176A2E"/>
    <w:pPr>
      <w:spacing w:before="240" w:after="60"/>
    </w:pPr>
    <w:rPr>
      <w:sz w:val="20"/>
    </w:rPr>
  </w:style>
  <w:style w:type="paragraph" w:customStyle="1" w:styleId="SubHeading1">
    <w:name w:val="SubHeading1"/>
    <w:basedOn w:val="HeadingBase"/>
    <w:rsid w:val="00176A2E"/>
    <w:pPr>
      <w:spacing w:before="240" w:after="60"/>
    </w:pPr>
    <w:rPr>
      <w:color w:val="918585"/>
      <w:sz w:val="22"/>
    </w:rPr>
  </w:style>
  <w:style w:type="paragraph" w:customStyle="1" w:styleId="SideHeading">
    <w:name w:val="Side Heading"/>
    <w:basedOn w:val="HeadingBase"/>
    <w:rsid w:val="00176A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A2E"/>
    <w:pPr>
      <w:tabs>
        <w:tab w:val="num" w:pos="360"/>
      </w:tabs>
    </w:pPr>
  </w:style>
  <w:style w:type="paragraph" w:styleId="PlainText">
    <w:name w:val="Plain Text"/>
    <w:basedOn w:val="Normal"/>
    <w:link w:val="PlainTextChar"/>
    <w:rsid w:val="00176A2E"/>
    <w:rPr>
      <w:sz w:val="20"/>
    </w:rPr>
  </w:style>
  <w:style w:type="character" w:customStyle="1" w:styleId="PlainTextChar">
    <w:name w:val="Plain Text Char"/>
    <w:basedOn w:val="DefaultParagraphFont"/>
    <w:link w:val="PlainText"/>
    <w:rsid w:val="00176A2E"/>
    <w:rPr>
      <w:rFonts w:ascii="Courier New" w:eastAsia="Times New Roman" w:hAnsi="Courier New" w:cs="Times New Roman"/>
      <w:sz w:val="20"/>
      <w:szCs w:val="20"/>
      <w:lang w:eastAsia="en-US"/>
    </w:rPr>
  </w:style>
  <w:style w:type="character" w:customStyle="1" w:styleId="MenuOption">
    <w:name w:val="Menu Option"/>
    <w:basedOn w:val="DefaultParagraphFont"/>
    <w:rsid w:val="00176A2E"/>
    <w:rPr>
      <w:b/>
      <w:smallCaps/>
    </w:rPr>
  </w:style>
  <w:style w:type="paragraph" w:customStyle="1" w:styleId="TableListNumber">
    <w:name w:val="Table List Number"/>
    <w:basedOn w:val="ListNumber"/>
    <w:rsid w:val="00176A2E"/>
    <w:pPr>
      <w:numPr>
        <w:numId w:val="0"/>
      </w:numPr>
    </w:pPr>
  </w:style>
  <w:style w:type="paragraph" w:styleId="TOC4">
    <w:name w:val="toc 4"/>
    <w:basedOn w:val="TOCBase"/>
    <w:next w:val="Normal"/>
    <w:semiHidden/>
    <w:rsid w:val="00176A2E"/>
    <w:pPr>
      <w:tabs>
        <w:tab w:val="right" w:leader="dot" w:pos="9071"/>
      </w:tabs>
      <w:ind w:left="1701"/>
    </w:pPr>
  </w:style>
  <w:style w:type="paragraph" w:customStyle="1" w:styleId="ListAlpha">
    <w:name w:val="List Alpha"/>
    <w:basedOn w:val="List"/>
    <w:rsid w:val="00176A2E"/>
    <w:pPr>
      <w:numPr>
        <w:numId w:val="9"/>
      </w:numPr>
    </w:pPr>
  </w:style>
  <w:style w:type="paragraph" w:customStyle="1" w:styleId="ListAlpha2">
    <w:name w:val="List Alpha 2"/>
    <w:basedOn w:val="List2"/>
    <w:rsid w:val="00176A2E"/>
    <w:pPr>
      <w:numPr>
        <w:numId w:val="8"/>
      </w:numPr>
    </w:pPr>
  </w:style>
  <w:style w:type="paragraph" w:styleId="List2">
    <w:name w:val="List 2"/>
    <w:basedOn w:val="BodyText"/>
    <w:rsid w:val="00176A2E"/>
    <w:pPr>
      <w:tabs>
        <w:tab w:val="left" w:pos="680"/>
      </w:tabs>
      <w:spacing w:before="60" w:after="60"/>
      <w:ind w:left="680" w:hanging="340"/>
    </w:pPr>
  </w:style>
  <w:style w:type="paragraph" w:styleId="List3">
    <w:name w:val="List 3"/>
    <w:basedOn w:val="BodyText"/>
    <w:rsid w:val="00176A2E"/>
    <w:pPr>
      <w:tabs>
        <w:tab w:val="left" w:pos="1021"/>
      </w:tabs>
      <w:spacing w:before="60" w:after="60"/>
      <w:ind w:left="1020" w:hanging="340"/>
    </w:pPr>
  </w:style>
  <w:style w:type="paragraph" w:styleId="List4">
    <w:name w:val="List 4"/>
    <w:basedOn w:val="BodyText"/>
    <w:rsid w:val="00176A2E"/>
    <w:pPr>
      <w:tabs>
        <w:tab w:val="left" w:pos="1361"/>
      </w:tabs>
      <w:spacing w:before="60" w:after="60"/>
      <w:ind w:left="1361" w:hanging="340"/>
    </w:pPr>
  </w:style>
  <w:style w:type="paragraph" w:styleId="List5">
    <w:name w:val="List 5"/>
    <w:basedOn w:val="BodyText"/>
    <w:rsid w:val="00176A2E"/>
    <w:pPr>
      <w:tabs>
        <w:tab w:val="left" w:pos="1701"/>
      </w:tabs>
      <w:spacing w:before="60" w:after="60"/>
      <w:ind w:left="1701" w:hanging="340"/>
    </w:pPr>
  </w:style>
  <w:style w:type="paragraph" w:styleId="ListBullet3">
    <w:name w:val="List Bullet 3"/>
    <w:basedOn w:val="List3"/>
    <w:rsid w:val="00176A2E"/>
    <w:pPr>
      <w:numPr>
        <w:numId w:val="14"/>
      </w:numPr>
      <w:tabs>
        <w:tab w:val="clear" w:pos="1021"/>
      </w:tabs>
      <w:ind w:left="1037" w:hanging="357"/>
    </w:pPr>
  </w:style>
  <w:style w:type="paragraph" w:styleId="ListBullet4">
    <w:name w:val="List Bullet 4"/>
    <w:basedOn w:val="List4"/>
    <w:rsid w:val="00176A2E"/>
    <w:pPr>
      <w:numPr>
        <w:numId w:val="3"/>
      </w:numPr>
      <w:tabs>
        <w:tab w:val="clear" w:pos="1361"/>
      </w:tabs>
    </w:pPr>
  </w:style>
  <w:style w:type="paragraph" w:styleId="ListBullet5">
    <w:name w:val="List Bullet 5"/>
    <w:basedOn w:val="List5"/>
    <w:rsid w:val="00176A2E"/>
    <w:pPr>
      <w:numPr>
        <w:numId w:val="4"/>
      </w:numPr>
    </w:pPr>
  </w:style>
  <w:style w:type="paragraph" w:styleId="ListContinue2">
    <w:name w:val="List Continue 2"/>
    <w:basedOn w:val="List2"/>
    <w:rsid w:val="00176A2E"/>
    <w:pPr>
      <w:ind w:firstLine="0"/>
    </w:pPr>
  </w:style>
  <w:style w:type="paragraph" w:styleId="ListContinue3">
    <w:name w:val="List Continue 3"/>
    <w:basedOn w:val="List3"/>
    <w:rsid w:val="00176A2E"/>
    <w:pPr>
      <w:ind w:left="1021" w:firstLine="0"/>
    </w:pPr>
  </w:style>
  <w:style w:type="paragraph" w:styleId="ListContinue4">
    <w:name w:val="List Continue 4"/>
    <w:basedOn w:val="List4"/>
    <w:rsid w:val="00176A2E"/>
    <w:pPr>
      <w:ind w:firstLine="0"/>
    </w:pPr>
  </w:style>
  <w:style w:type="paragraph" w:styleId="ListContinue5">
    <w:name w:val="List Continue 5"/>
    <w:basedOn w:val="List5"/>
    <w:rsid w:val="00176A2E"/>
    <w:pPr>
      <w:ind w:firstLine="0"/>
    </w:pPr>
  </w:style>
  <w:style w:type="paragraph" w:styleId="ListNumber3">
    <w:name w:val="List Number 3"/>
    <w:basedOn w:val="List3"/>
    <w:rsid w:val="00176A2E"/>
    <w:pPr>
      <w:numPr>
        <w:numId w:val="5"/>
      </w:numPr>
    </w:pPr>
  </w:style>
  <w:style w:type="paragraph" w:styleId="ListNumber4">
    <w:name w:val="List Number 4"/>
    <w:basedOn w:val="List4"/>
    <w:rsid w:val="00176A2E"/>
    <w:pPr>
      <w:numPr>
        <w:numId w:val="6"/>
      </w:numPr>
    </w:pPr>
  </w:style>
  <w:style w:type="paragraph" w:styleId="ListNumber5">
    <w:name w:val="List Number 5"/>
    <w:basedOn w:val="List5"/>
    <w:rsid w:val="00176A2E"/>
    <w:pPr>
      <w:numPr>
        <w:numId w:val="7"/>
      </w:numPr>
    </w:pPr>
  </w:style>
  <w:style w:type="paragraph" w:styleId="BlockText">
    <w:name w:val="Block Text"/>
    <w:basedOn w:val="Normal"/>
    <w:rsid w:val="00176A2E"/>
    <w:pPr>
      <w:spacing w:after="120"/>
      <w:ind w:left="1440" w:right="1440"/>
    </w:pPr>
  </w:style>
  <w:style w:type="character" w:customStyle="1" w:styleId="Subscript">
    <w:name w:val="Subscript"/>
    <w:basedOn w:val="DefaultParagraphFont"/>
    <w:rsid w:val="00176A2E"/>
    <w:rPr>
      <w:sz w:val="16"/>
      <w:vertAlign w:val="subscript"/>
    </w:rPr>
  </w:style>
  <w:style w:type="character" w:customStyle="1" w:styleId="Superscript">
    <w:name w:val="Superscript"/>
    <w:basedOn w:val="DefaultParagraphFont"/>
    <w:rsid w:val="00176A2E"/>
    <w:rPr>
      <w:sz w:val="16"/>
      <w:vertAlign w:val="superscript"/>
    </w:rPr>
  </w:style>
  <w:style w:type="character" w:customStyle="1" w:styleId="Symbols">
    <w:name w:val="Symbols"/>
    <w:basedOn w:val="DefaultParagraphFont"/>
    <w:rsid w:val="00176A2E"/>
    <w:rPr>
      <w:rFonts w:ascii="Symbol" w:hAnsi="Symbol"/>
    </w:rPr>
  </w:style>
  <w:style w:type="character" w:customStyle="1" w:styleId="MenuOptions">
    <w:name w:val="Menu Options"/>
    <w:basedOn w:val="DefaultParagraphFont"/>
    <w:rsid w:val="00176A2E"/>
    <w:rPr>
      <w:rFonts w:ascii="Arial Narrow" w:hAnsi="Arial Narrow"/>
      <w:smallCaps/>
    </w:rPr>
  </w:style>
  <w:style w:type="character" w:customStyle="1" w:styleId="Buttons">
    <w:name w:val="Buttons"/>
    <w:basedOn w:val="DefaultParagraphFont"/>
    <w:rsid w:val="00176A2E"/>
    <w:rPr>
      <w:b/>
    </w:rPr>
  </w:style>
  <w:style w:type="character" w:customStyle="1" w:styleId="Underlined">
    <w:name w:val="Underlined"/>
    <w:basedOn w:val="DefaultParagraphFont"/>
    <w:rsid w:val="00176A2E"/>
    <w:rPr>
      <w:u w:val="single"/>
    </w:rPr>
  </w:style>
  <w:style w:type="paragraph" w:customStyle="1" w:styleId="TableBodyTextRight">
    <w:name w:val="Table Body Text Right"/>
    <w:basedOn w:val="TableBodyText"/>
    <w:rsid w:val="00176A2E"/>
    <w:pPr>
      <w:widowControl w:val="0"/>
      <w:autoSpaceDE w:val="0"/>
      <w:autoSpaceDN w:val="0"/>
      <w:adjustRightInd w:val="0"/>
      <w:jc w:val="right"/>
    </w:pPr>
    <w:rPr>
      <w:rFonts w:cs="Arial"/>
      <w:szCs w:val="18"/>
    </w:rPr>
  </w:style>
  <w:style w:type="paragraph" w:customStyle="1" w:styleId="CopyrightText">
    <w:name w:val="Copyright Text"/>
    <w:basedOn w:val="BodyText"/>
    <w:rsid w:val="00176A2E"/>
    <w:rPr>
      <w:sz w:val="18"/>
    </w:rPr>
  </w:style>
  <w:style w:type="paragraph" w:customStyle="1" w:styleId="BodySmallRight">
    <w:name w:val="Body Small Right"/>
    <w:basedOn w:val="BodyTextRight"/>
    <w:rsid w:val="00176A2E"/>
    <w:rPr>
      <w:sz w:val="18"/>
      <w:szCs w:val="18"/>
    </w:rPr>
  </w:style>
  <w:style w:type="paragraph" w:customStyle="1" w:styleId="MarginEdition">
    <w:name w:val="Margin Edition"/>
    <w:basedOn w:val="MarginNote"/>
    <w:rsid w:val="00176A2E"/>
    <w:pPr>
      <w:spacing w:before="0" w:after="0"/>
    </w:pPr>
    <w:rPr>
      <w:rFonts w:ascii="Times New Roman" w:hAnsi="Times New Roman"/>
      <w:color w:val="999999"/>
    </w:rPr>
  </w:style>
  <w:style w:type="paragraph" w:customStyle="1" w:styleId="Spacer">
    <w:name w:val="Spacer"/>
    <w:basedOn w:val="Normal"/>
    <w:rsid w:val="00176A2E"/>
    <w:rPr>
      <w:sz w:val="2"/>
      <w:szCs w:val="2"/>
    </w:rPr>
  </w:style>
  <w:style w:type="character" w:customStyle="1" w:styleId="Small">
    <w:name w:val="Small"/>
    <w:basedOn w:val="DefaultParagraphFont"/>
    <w:rsid w:val="00176A2E"/>
    <w:rPr>
      <w:sz w:val="16"/>
    </w:rPr>
  </w:style>
  <w:style w:type="paragraph" w:customStyle="1" w:styleId="WideTable">
    <w:name w:val="Wide Table"/>
    <w:basedOn w:val="Normal"/>
    <w:rsid w:val="00176A2E"/>
    <w:pPr>
      <w:ind w:left="-1418"/>
    </w:pPr>
    <w:rPr>
      <w:sz w:val="2"/>
      <w:szCs w:val="2"/>
    </w:rPr>
  </w:style>
  <w:style w:type="character" w:styleId="PageNumber">
    <w:name w:val="page number"/>
    <w:basedOn w:val="DefaultParagraphFont"/>
    <w:rsid w:val="00176A2E"/>
  </w:style>
  <w:style w:type="paragraph" w:styleId="Quote">
    <w:name w:val="Quote"/>
    <w:basedOn w:val="Heading1"/>
    <w:link w:val="QuoteChar"/>
    <w:qFormat/>
    <w:rsid w:val="00176A2E"/>
    <w:rPr>
      <w:b w:val="0"/>
      <w:sz w:val="72"/>
      <w:szCs w:val="72"/>
      <w:lang w:val="en-NZ"/>
    </w:rPr>
  </w:style>
  <w:style w:type="character" w:customStyle="1" w:styleId="QuoteChar">
    <w:name w:val="Quote Char"/>
    <w:basedOn w:val="DefaultParagraphFont"/>
    <w:link w:val="Quote"/>
    <w:rsid w:val="00176A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A2E"/>
    <w:pPr>
      <w:pageBreakBefore/>
    </w:pPr>
  </w:style>
  <w:style w:type="paragraph" w:customStyle="1" w:styleId="Border">
    <w:name w:val="Border"/>
    <w:basedOn w:val="Normal"/>
    <w:qFormat/>
    <w:rsid w:val="00176A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A2E"/>
    <w:rPr>
      <w:b/>
      <w:bCs/>
      <w:i/>
      <w:iCs/>
      <w:color w:val="auto"/>
    </w:rPr>
  </w:style>
  <w:style w:type="paragraph" w:styleId="IntenseQuote">
    <w:name w:val="Intense Quote"/>
    <w:basedOn w:val="Normal"/>
    <w:next w:val="Normal"/>
    <w:link w:val="IntenseQuoteChar"/>
    <w:uiPriority w:val="30"/>
    <w:qFormat/>
    <w:rsid w:val="00176A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A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A2E"/>
    <w:rPr>
      <w:smallCaps/>
      <w:color w:val="auto"/>
      <w:u w:val="single"/>
    </w:rPr>
  </w:style>
  <w:style w:type="character" w:styleId="IntenseReference">
    <w:name w:val="Intense Reference"/>
    <w:basedOn w:val="DefaultParagraphFont"/>
    <w:uiPriority w:val="32"/>
    <w:qFormat/>
    <w:rsid w:val="00176A2E"/>
    <w:rPr>
      <w:b/>
      <w:bCs/>
      <w:smallCaps/>
      <w:color w:val="auto"/>
      <w:spacing w:val="5"/>
      <w:u w:val="single"/>
    </w:rPr>
  </w:style>
  <w:style w:type="paragraph" w:customStyle="1" w:styleId="2ColumnHeading">
    <w:name w:val="2Column Heading"/>
    <w:basedOn w:val="BodyText"/>
    <w:qFormat/>
    <w:rsid w:val="00176A2E"/>
    <w:pPr>
      <w:spacing w:after="60"/>
      <w:ind w:left="-2268"/>
    </w:pPr>
    <w:rPr>
      <w:b/>
    </w:rPr>
  </w:style>
  <w:style w:type="paragraph" w:customStyle="1" w:styleId="Heading1TOC">
    <w:name w:val="Heading1 TOC"/>
    <w:basedOn w:val="Normal"/>
    <w:qFormat/>
    <w:rsid w:val="00176A2E"/>
    <w:pPr>
      <w:spacing w:before="240" w:after="120"/>
    </w:pPr>
    <w:rPr>
      <w:rFonts w:ascii="Times New Roman" w:hAnsi="Times New Roman"/>
      <w:b/>
      <w:sz w:val="32"/>
    </w:rPr>
  </w:style>
  <w:style w:type="paragraph" w:customStyle="1" w:styleId="Heading2TOC">
    <w:name w:val="Heading2 TOC"/>
    <w:basedOn w:val="Normal"/>
    <w:qFormat/>
    <w:rsid w:val="00176A2E"/>
    <w:pPr>
      <w:spacing w:before="240" w:after="60"/>
    </w:pPr>
    <w:rPr>
      <w:rFonts w:ascii="Times New Roman" w:hAnsi="Times New Roman"/>
      <w:b/>
      <w:sz w:val="28"/>
    </w:rPr>
  </w:style>
  <w:style w:type="character" w:customStyle="1" w:styleId="Underline">
    <w:name w:val="Underline"/>
    <w:basedOn w:val="DefaultParagraphFont"/>
    <w:qFormat/>
    <w:rsid w:val="00176A2E"/>
    <w:rPr>
      <w:u w:val="single"/>
    </w:rPr>
  </w:style>
  <w:style w:type="character" w:customStyle="1" w:styleId="BoldandItalics">
    <w:name w:val="Bold and Italics"/>
    <w:qFormat/>
    <w:rsid w:val="00176A2E"/>
    <w:rPr>
      <w:b/>
      <w:i/>
      <w:u w:val="none"/>
    </w:rPr>
  </w:style>
  <w:style w:type="paragraph" w:styleId="BalloonText">
    <w:name w:val="Balloon Text"/>
    <w:basedOn w:val="Normal"/>
    <w:link w:val="BalloonTextChar"/>
    <w:rsid w:val="00176A2E"/>
    <w:rPr>
      <w:rFonts w:ascii="Tahoma" w:hAnsi="Tahoma" w:cs="Tahoma"/>
      <w:sz w:val="16"/>
      <w:szCs w:val="16"/>
    </w:rPr>
  </w:style>
  <w:style w:type="character" w:customStyle="1" w:styleId="BalloonTextChar">
    <w:name w:val="Balloon Text Char"/>
    <w:basedOn w:val="DefaultParagraphFont"/>
    <w:link w:val="BalloonText"/>
    <w:rsid w:val="00176A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A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A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A2E"/>
    <w:rPr>
      <w:b/>
      <w:color w:val="660033"/>
      <w:spacing w:val="0"/>
    </w:rPr>
  </w:style>
  <w:style w:type="paragraph" w:customStyle="1" w:styleId="Nameditemlist">
    <w:name w:val="Named item list"/>
    <w:basedOn w:val="BodyText"/>
    <w:qFormat/>
    <w:rsid w:val="00176A2E"/>
    <w:pPr>
      <w:tabs>
        <w:tab w:val="left" w:pos="2835"/>
      </w:tabs>
      <w:ind w:left="2835" w:hanging="2835"/>
    </w:pPr>
  </w:style>
  <w:style w:type="paragraph" w:customStyle="1" w:styleId="BodyTextnopadding">
    <w:name w:val="Body Text no padding"/>
    <w:basedOn w:val="BodyText"/>
    <w:qFormat/>
    <w:rsid w:val="00176A2E"/>
    <w:pPr>
      <w:spacing w:before="0" w:after="0"/>
    </w:pPr>
  </w:style>
  <w:style w:type="paragraph" w:customStyle="1" w:styleId="BodyTextBold">
    <w:name w:val="Body Text Bold"/>
    <w:basedOn w:val="BodyText"/>
    <w:qFormat/>
    <w:rsid w:val="00176A2E"/>
    <w:rPr>
      <w:b/>
    </w:rPr>
  </w:style>
  <w:style w:type="character" w:styleId="Hyperlink">
    <w:name w:val="Hyperlink"/>
    <w:basedOn w:val="DefaultParagraphFont"/>
    <w:uiPriority w:val="99"/>
    <w:unhideWhenUsed/>
    <w:rsid w:val="00D56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1096</Words>
  <Characters>6636</Characters>
  <Application>Microsoft Office Word</Application>
  <DocSecurity>0</DocSecurity>
  <Lines>301</Lines>
  <Paragraphs>193</Paragraphs>
  <ScaleCrop>false</ScaleCrop>
  <Company>Author-it Software Corporation Ltd.</Company>
  <LinksUpToDate>false</LinksUpToDate>
  <CharactersWithSpaces>7539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MSFFM4004 Produce timber veneered components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2020-05-07T02:33:00Z</dcterms:created>
  <dcterms:modified xsi:type="dcterms:W3CDTF">2020-05-07T02:33:00Z</dcterms:modified>
</cp:coreProperties>
</file>