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0EE5" w:rsidP="00110E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MSFFM3045 Set up, operate and maintain computer numerically controlled (CNC) machining and processing centres</w:t>
      </w:r>
      <w:r>
        <w:fldChar w:fldCharType="end"/>
      </w:r>
    </w:p>
    <w:p w:rsidR="00110EE5" w:rsidP="00110EE5">
      <w:pPr>
        <w:pStyle w:val="Version"/>
        <w:sectPr w:rsidSect="006652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52B1" w:rsidP="006652B1">
      <w:pPr>
        <w:pStyle w:val="SuperHeading"/>
      </w:pPr>
      <w:r w:rsidRPr="006652B1">
        <w:t>Assessment Requirements for MSFFM3045 Set up, operate and maintain computer numerically controlled (CNC) machining and processing centres</w:t>
      </w:r>
    </w:p>
    <w:p w:rsidR="00000000" w:rsidRPr="006652B1" w:rsidP="006652B1">
      <w:pPr>
        <w:pStyle w:val="Heading1"/>
      </w:pPr>
      <w:bookmarkStart w:id="1" w:name="O_1248242"/>
      <w:bookmarkEnd w:id="1"/>
      <w:r w:rsidRPr="006652B1">
        <w:t>Modification History</w:t>
      </w:r>
    </w:p>
    <w:p w:rsidR="00110EE5" w:rsidP="00110EE5">
      <w:pPr>
        <w:pStyle w:val="BodyText"/>
      </w:pPr>
      <w:r w:rsidRPr="006652B1">
        <w:t>Release 1. Changes to code, application, elements, performance criteria, assessment requirements. Foundation skills added. Range of conditions removed. Assessment requirements changed.</w:t>
      </w:r>
    </w:p>
    <w:p w:rsidR="00000000" w:rsidRPr="006652B1" w:rsidP="006652B1">
      <w:pPr>
        <w:pStyle w:val="Heading1"/>
      </w:pPr>
      <w:bookmarkStart w:id="2" w:name="O_1248243"/>
      <w:bookmarkEnd w:id="2"/>
      <w:r w:rsidRPr="006652B1">
        <w:t>Performance Evidence</w:t>
      </w:r>
    </w:p>
    <w:p w:rsidR="00000000" w:rsidRPr="006652B1" w:rsidP="00110EE5">
      <w:pPr>
        <w:pStyle w:val="BodyText"/>
      </w:pPr>
      <w:r w:rsidRPr="006652B1">
        <w:t>There must be evidence the can</w:t>
      </w:r>
      <w:r w:rsidRPr="006652B1">
        <w:t>didate has completed the tasks outlined in the elements and performance criteria of this unit, and demonstrated the ability to:</w:t>
      </w:r>
    </w:p>
    <w:p w:rsidR="00000000" w:rsidRPr="006652B1" w:rsidP="006652B1">
      <w:pPr>
        <w:pStyle w:val="ListBullet"/>
      </w:pPr>
      <w:r w:rsidRPr="006652B1">
        <w:t>set up, operate and complete operator maintenance on at least 1 CNC machining and processing centre to complete detailed profil</w:t>
      </w:r>
      <w:r w:rsidRPr="006652B1">
        <w:t>ing. This must include at least 3 different shapes and, for each of these shapes, using each of the following methods:</w:t>
      </w:r>
    </w:p>
    <w:p w:rsidR="00000000" w:rsidRPr="006652B1" w:rsidP="006652B1">
      <w:pPr>
        <w:pStyle w:val="ListBullet2"/>
      </w:pPr>
      <w:r w:rsidRPr="006652B1">
        <w:t>development and application of sub-program</w:t>
      </w:r>
    </w:p>
    <w:p w:rsidR="00000000" w:rsidRPr="006652B1" w:rsidP="006652B1">
      <w:pPr>
        <w:pStyle w:val="ListBullet2"/>
      </w:pPr>
      <w:r w:rsidRPr="006652B1">
        <w:t>development and application of parametric program</w:t>
      </w:r>
    </w:p>
    <w:p w:rsidR="00110EE5" w:rsidP="006652B1">
      <w:pPr>
        <w:pStyle w:val="ListBullet2"/>
      </w:pPr>
      <w:r w:rsidRPr="006652B1">
        <w:t>application of CAD/CAM functions.</w:t>
      </w:r>
    </w:p>
    <w:p w:rsidR="00110EE5" w:rsidP="006652B1">
      <w:pPr>
        <w:pStyle w:val="ListBullet2"/>
      </w:pPr>
    </w:p>
    <w:p w:rsidR="00000000" w:rsidRPr="006652B1" w:rsidP="006652B1">
      <w:pPr>
        <w:pStyle w:val="Heading1"/>
      </w:pPr>
      <w:bookmarkStart w:id="3" w:name="O_1248244"/>
      <w:bookmarkEnd w:id="3"/>
      <w:r w:rsidRPr="006652B1">
        <w:t>Knowledge Evidence</w:t>
      </w:r>
    </w:p>
    <w:p w:rsidR="00000000" w:rsidRPr="006652B1" w:rsidP="00110EE5">
      <w:pPr>
        <w:pStyle w:val="BodyText"/>
      </w:pPr>
      <w:r w:rsidRPr="006652B1">
        <w:t>There must be evidence the candidate has knowledge of:</w:t>
      </w:r>
    </w:p>
    <w:p w:rsidR="00000000" w:rsidRPr="006652B1" w:rsidP="006652B1">
      <w:pPr>
        <w:pStyle w:val="ListBullet"/>
      </w:pPr>
      <w:r w:rsidRPr="006652B1">
        <w:t>workplace procedures for</w:t>
      </w:r>
    </w:p>
    <w:p w:rsidR="00000000" w:rsidRPr="006652B1" w:rsidP="006652B1">
      <w:pPr>
        <w:pStyle w:val="ListBullet2"/>
      </w:pPr>
      <w:r w:rsidRPr="006652B1">
        <w:t>work health and safety</w:t>
      </w:r>
    </w:p>
    <w:p w:rsidR="00000000" w:rsidRPr="006652B1" w:rsidP="006652B1">
      <w:pPr>
        <w:pStyle w:val="ListBullet2"/>
      </w:pPr>
      <w:r w:rsidRPr="006652B1">
        <w:t>quality assurance and tolerance levels</w:t>
      </w:r>
    </w:p>
    <w:p w:rsidR="00000000" w:rsidRPr="006652B1" w:rsidP="006652B1">
      <w:pPr>
        <w:pStyle w:val="ListBullet2"/>
      </w:pPr>
      <w:r w:rsidRPr="006652B1">
        <w:t>reporting of machinery faults and material defects</w:t>
      </w:r>
    </w:p>
    <w:p w:rsidR="00000000" w:rsidRPr="006652B1" w:rsidP="006652B1">
      <w:pPr>
        <w:pStyle w:val="ListBullet"/>
      </w:pPr>
      <w:r w:rsidRPr="006652B1">
        <w:t>uses of CNC machining and processing centres:</w:t>
      </w:r>
    </w:p>
    <w:p w:rsidR="00000000" w:rsidRPr="006652B1" w:rsidP="006652B1">
      <w:pPr>
        <w:pStyle w:val="ListBullet2"/>
      </w:pPr>
      <w:r w:rsidRPr="006652B1">
        <w:t>three axis machining centres</w:t>
      </w:r>
    </w:p>
    <w:p w:rsidR="00000000" w:rsidRPr="006652B1" w:rsidP="006652B1">
      <w:pPr>
        <w:pStyle w:val="ListBullet2"/>
      </w:pPr>
      <w:r w:rsidRPr="006652B1">
        <w:t>multi-tasking machining centres</w:t>
      </w:r>
    </w:p>
    <w:p w:rsidR="00000000" w:rsidRPr="006652B1" w:rsidP="006652B1">
      <w:pPr>
        <w:pStyle w:val="ListBullet2"/>
      </w:pPr>
      <w:r w:rsidRPr="006652B1">
        <w:t>flat-bed routers and mortice</w:t>
      </w:r>
    </w:p>
    <w:p w:rsidR="00000000" w:rsidRPr="006652B1" w:rsidP="006652B1">
      <w:pPr>
        <w:pStyle w:val="ListBullet"/>
      </w:pPr>
      <w:r w:rsidRPr="006652B1">
        <w:t>tools and equipment associated with CNC centres:</w:t>
      </w:r>
    </w:p>
    <w:p w:rsidR="00000000" w:rsidRPr="006652B1" w:rsidP="006652B1">
      <w:pPr>
        <w:pStyle w:val="ListBullet2"/>
      </w:pPr>
      <w:r w:rsidRPr="006652B1">
        <w:t>stand-alone or integral computing systems</w:t>
      </w:r>
    </w:p>
    <w:p w:rsidR="00000000" w:rsidRPr="006652B1" w:rsidP="006652B1">
      <w:pPr>
        <w:pStyle w:val="ListBullet2"/>
      </w:pPr>
      <w:r w:rsidRPr="006652B1">
        <w:t>machine-specific tools</w:t>
      </w:r>
    </w:p>
    <w:p w:rsidR="00000000" w:rsidRPr="006652B1" w:rsidP="006652B1">
      <w:pPr>
        <w:pStyle w:val="ListBullet"/>
      </w:pPr>
      <w:r w:rsidRPr="006652B1">
        <w:t>pe</w:t>
      </w:r>
      <w:r w:rsidRPr="006652B1">
        <w:t>rsonal protective equipment (PPE) required for CNC machining and processing</w:t>
      </w:r>
    </w:p>
    <w:p w:rsidR="00000000" w:rsidRPr="006652B1" w:rsidP="006652B1">
      <w:pPr>
        <w:pStyle w:val="ListBullet"/>
      </w:pPr>
      <w:r w:rsidRPr="006652B1">
        <w:t>CNC practices and techniques, including workflow process</w:t>
      </w:r>
    </w:p>
    <w:p w:rsidR="00000000" w:rsidRPr="006652B1" w:rsidP="006652B1">
      <w:pPr>
        <w:pStyle w:val="ListBullet"/>
      </w:pPr>
      <w:r w:rsidRPr="006652B1">
        <w:t>characteristics of materials to be machined and processed and uses of products produced:</w:t>
      </w:r>
    </w:p>
    <w:p w:rsidR="00000000" w:rsidRPr="006652B1" w:rsidP="006652B1">
      <w:pPr>
        <w:pStyle w:val="ListBullet2"/>
      </w:pPr>
      <w:r w:rsidRPr="006652B1">
        <w:t>materials</w:t>
      </w:r>
    </w:p>
    <w:p w:rsidR="00000000" w:rsidRPr="006652B1" w:rsidP="006652B1">
      <w:pPr>
        <w:pStyle w:val="ListBullet3"/>
      </w:pPr>
      <w:r w:rsidRPr="006652B1">
        <w:t>solid timber</w:t>
      </w:r>
    </w:p>
    <w:p w:rsidR="00000000" w:rsidRPr="006652B1" w:rsidP="006652B1">
      <w:pPr>
        <w:pStyle w:val="ListBullet3"/>
      </w:pPr>
      <w:r w:rsidRPr="006652B1">
        <w:t>manufactured board</w:t>
      </w:r>
    </w:p>
    <w:p w:rsidR="00000000" w:rsidRPr="006652B1" w:rsidP="006652B1">
      <w:pPr>
        <w:pStyle w:val="ListBullet2"/>
      </w:pPr>
      <w:r w:rsidRPr="006652B1">
        <w:t>products:</w:t>
      </w:r>
    </w:p>
    <w:p w:rsidR="00000000" w:rsidRPr="006652B1" w:rsidP="006652B1">
      <w:pPr>
        <w:pStyle w:val="ListBullet3"/>
      </w:pPr>
      <w:r w:rsidRPr="006652B1">
        <w:t>vacuum formed doors</w:t>
      </w:r>
    </w:p>
    <w:p w:rsidR="00000000" w:rsidRPr="006652B1" w:rsidP="006652B1">
      <w:pPr>
        <w:pStyle w:val="ListBullet3"/>
      </w:pPr>
      <w:r w:rsidRPr="006652B1">
        <w:t>widening joints</w:t>
      </w:r>
    </w:p>
    <w:p w:rsidR="00000000" w:rsidRPr="006652B1" w:rsidP="006652B1">
      <w:pPr>
        <w:pStyle w:val="ListBullet3"/>
      </w:pPr>
      <w:r w:rsidRPr="006652B1">
        <w:t>framed construction</w:t>
      </w:r>
    </w:p>
    <w:p w:rsidR="00000000" w:rsidRPr="006652B1" w:rsidP="006652B1">
      <w:pPr>
        <w:pStyle w:val="ListBullet3"/>
      </w:pPr>
      <w:r w:rsidRPr="006652B1">
        <w:t>drawers and laminating veneers.</w:t>
      </w:r>
    </w:p>
    <w:p w:rsidR="00000000" w:rsidRPr="006652B1" w:rsidP="006652B1">
      <w:pPr>
        <w:pStyle w:val="AllowPageBreak"/>
      </w:pPr>
    </w:p>
    <w:p w:rsidR="00000000" w:rsidRPr="006652B1" w:rsidP="006652B1">
      <w:pPr>
        <w:pStyle w:val="Heading1"/>
      </w:pPr>
      <w:bookmarkStart w:id="4" w:name="O_1248245"/>
      <w:bookmarkEnd w:id="4"/>
      <w:r w:rsidRPr="006652B1">
        <w:t>Assessment Conditions</w:t>
      </w:r>
    </w:p>
    <w:p w:rsidR="00000000" w:rsidRPr="006652B1" w:rsidP="00110EE5">
      <w:pPr>
        <w:pStyle w:val="BodyText"/>
      </w:pPr>
      <w:r w:rsidRPr="006652B1">
        <w:t>Skills must have been demonstrated in the workplace or in a simulated environment that reflects workplace conditions and contingencies. The following conditions must be met for this unit:</w:t>
      </w:r>
    </w:p>
    <w:p w:rsidR="00000000" w:rsidRPr="006652B1" w:rsidP="006652B1">
      <w:pPr>
        <w:pStyle w:val="ListBullet"/>
      </w:pPr>
      <w:r w:rsidRPr="006652B1">
        <w:t>use of suitable facilities, equipment and resources required for pe</w:t>
      </w:r>
      <w:r w:rsidRPr="006652B1">
        <w:t>rformance evidence, including:</w:t>
      </w:r>
    </w:p>
    <w:p w:rsidR="00000000" w:rsidRPr="006652B1" w:rsidP="006652B1">
      <w:pPr>
        <w:pStyle w:val="ListBullet2"/>
      </w:pPr>
      <w:r w:rsidRPr="006652B1">
        <w:t>work documentation</w:t>
      </w:r>
    </w:p>
    <w:p w:rsidR="00000000" w:rsidRPr="006652B1" w:rsidP="006652B1">
      <w:pPr>
        <w:pStyle w:val="ListBullet2"/>
      </w:pPr>
      <w:r w:rsidRPr="006652B1">
        <w:t>unprocessed materials for processing</w:t>
      </w:r>
    </w:p>
    <w:p w:rsidR="00000000" w:rsidRPr="006652B1" w:rsidP="006652B1">
      <w:pPr>
        <w:pStyle w:val="ListBullet2"/>
      </w:pPr>
      <w:r w:rsidRPr="006652B1">
        <w:t>CNC controlled equipment</w:t>
      </w:r>
    </w:p>
    <w:p w:rsidR="00000000" w:rsidRPr="006652B1" w:rsidP="006652B1">
      <w:pPr>
        <w:pStyle w:val="ListBullet2"/>
      </w:pPr>
      <w:r w:rsidRPr="006652B1">
        <w:t>PPE</w:t>
      </w:r>
    </w:p>
    <w:p w:rsidR="00000000" w:rsidRPr="006652B1" w:rsidP="006652B1">
      <w:pPr>
        <w:pStyle w:val="ListBullet2"/>
      </w:pPr>
      <w:r w:rsidRPr="006652B1">
        <w:t>workplace procedures.</w:t>
      </w:r>
    </w:p>
    <w:p w:rsidR="00000000" w:rsidRPr="006652B1" w:rsidP="00110EE5">
      <w:pPr>
        <w:pStyle w:val="BodyText"/>
      </w:pPr>
      <w:r w:rsidRPr="006652B1">
        <w:t>Assessors must satisfy the NVR/AQTF mandatory competency requirements for assessors.</w:t>
      </w:r>
    </w:p>
    <w:p w:rsidR="00000000" w:rsidRPr="006652B1" w:rsidP="006652B1">
      <w:pPr>
        <w:pStyle w:val="Heading1"/>
      </w:pPr>
      <w:bookmarkStart w:id="5" w:name="O_1248248"/>
      <w:bookmarkEnd w:id="5"/>
      <w:r w:rsidRPr="006652B1">
        <w:t>Links</w:t>
      </w:r>
    </w:p>
    <w:p w:rsidR="00000000" w:rsidRPr="006652B1" w:rsidP="00110EE5">
      <w:pPr>
        <w:pStyle w:val="BodyText"/>
      </w:pPr>
      <w:r w:rsidRPr="006652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9757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652B1" w:rsidP="006652B1"/>
    <w:sectPr w:rsidSect="006652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2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2B1" w:rsidRPr="00110EE5" w:rsidP="00110E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2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EE5" w:rsidP="006652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0EE5" w:rsidP="006652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10EE5" w:rsidP="006652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2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E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52B1" w:rsidRPr="00110EE5" w:rsidP="00110E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2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EE5" w:rsidRPr="002D2AF8" w:rsidP="006652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MSFFM3045 Set up, operate and maintain computer numerically controlled (CNC) machining and processing centres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10EE5" w:rsidP="006652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C68E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860A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DADE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2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52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52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52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52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52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52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52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52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52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52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52B1"/>
  </w:style>
  <w:style w:type="character" w:customStyle="1" w:styleId="Heading1Char">
    <w:name w:val="Heading 1 Char"/>
    <w:basedOn w:val="DefaultParagraphFont"/>
    <w:link w:val="Heading1"/>
    <w:rsid w:val="006652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52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52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52B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52B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52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52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652B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652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52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52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52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52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52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52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52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52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52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52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52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52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52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52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52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52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52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52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52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52B1"/>
    <w:rPr>
      <w:b/>
      <w:spacing w:val="0"/>
    </w:rPr>
  </w:style>
  <w:style w:type="paragraph" w:customStyle="1" w:styleId="SuperTitle">
    <w:name w:val="SuperTitle"/>
    <w:basedOn w:val="Title"/>
    <w:rsid w:val="006652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52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52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52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52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52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52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52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52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52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52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52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52B1"/>
    <w:rPr>
      <w:i/>
    </w:rPr>
  </w:style>
  <w:style w:type="paragraph" w:styleId="Caption">
    <w:name w:val="caption"/>
    <w:basedOn w:val="BodyText"/>
    <w:next w:val="Normal"/>
    <w:qFormat/>
    <w:rsid w:val="006652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52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52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52B1"/>
  </w:style>
  <w:style w:type="paragraph" w:styleId="TableofFigures">
    <w:name w:val="table of figures"/>
    <w:basedOn w:val="Normal"/>
    <w:next w:val="Normal"/>
    <w:semiHidden/>
    <w:rsid w:val="006652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52B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652B1"/>
    <w:rPr>
      <w:rFonts w:ascii="Wingdings" w:hAnsi="Wingdings"/>
    </w:rPr>
  </w:style>
  <w:style w:type="paragraph" w:customStyle="1" w:styleId="TableHeading">
    <w:name w:val="Table Heading"/>
    <w:basedOn w:val="HeadingBase"/>
    <w:rsid w:val="006652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52B1"/>
    <w:rPr>
      <w:color w:val="0033CC"/>
      <w:u w:val="none"/>
    </w:rPr>
  </w:style>
  <w:style w:type="paragraph" w:customStyle="1" w:styleId="BodyTextRight">
    <w:name w:val="Body Text Right"/>
    <w:basedOn w:val="BodyText"/>
    <w:rsid w:val="006652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52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52B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52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52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52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52B1"/>
    <w:rPr>
      <w:sz w:val="32"/>
    </w:rPr>
  </w:style>
  <w:style w:type="paragraph" w:customStyle="1" w:styleId="HeadingProcedure">
    <w:name w:val="Heading Procedure"/>
    <w:basedOn w:val="HeadingBase"/>
    <w:next w:val="Normal"/>
    <w:rsid w:val="006652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52B1"/>
    <w:pPr>
      <w:spacing w:before="60" w:after="60"/>
    </w:pPr>
  </w:style>
  <w:style w:type="paragraph" w:styleId="ListContinue">
    <w:name w:val="List Continue"/>
    <w:basedOn w:val="List"/>
    <w:rsid w:val="006652B1"/>
    <w:pPr>
      <w:ind w:firstLine="0"/>
    </w:pPr>
  </w:style>
  <w:style w:type="paragraph" w:customStyle="1" w:styleId="ListNote">
    <w:name w:val="List Note"/>
    <w:basedOn w:val="List"/>
    <w:rsid w:val="006652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52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52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52B1"/>
    <w:rPr>
      <w:rFonts w:ascii="Courier New" w:hAnsi="Courier New"/>
    </w:rPr>
  </w:style>
  <w:style w:type="paragraph" w:customStyle="1" w:styleId="NoteBullet">
    <w:name w:val="Note Bullet"/>
    <w:basedOn w:val="Note"/>
    <w:rsid w:val="006652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52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52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52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52B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652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52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52B1"/>
    <w:rPr>
      <w:b/>
      <w:smallCaps/>
    </w:rPr>
  </w:style>
  <w:style w:type="paragraph" w:customStyle="1" w:styleId="TableListNumber">
    <w:name w:val="Table List Number"/>
    <w:basedOn w:val="ListNumber"/>
    <w:rsid w:val="006652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52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52B1"/>
    <w:pPr>
      <w:numPr>
        <w:numId w:val="10"/>
      </w:numPr>
    </w:pPr>
  </w:style>
  <w:style w:type="paragraph" w:customStyle="1" w:styleId="ListAlpha2">
    <w:name w:val="List Alpha 2"/>
    <w:basedOn w:val="List2"/>
    <w:rsid w:val="006652B1"/>
    <w:pPr>
      <w:numPr>
        <w:numId w:val="9"/>
      </w:numPr>
    </w:pPr>
  </w:style>
  <w:style w:type="paragraph" w:styleId="List2">
    <w:name w:val="List 2"/>
    <w:basedOn w:val="BodyText"/>
    <w:rsid w:val="006652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52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52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52B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652B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652B1"/>
    <w:pPr>
      <w:numPr>
        <w:numId w:val="5"/>
      </w:numPr>
    </w:pPr>
  </w:style>
  <w:style w:type="paragraph" w:styleId="ListContinue2">
    <w:name w:val="List Continue 2"/>
    <w:basedOn w:val="List2"/>
    <w:rsid w:val="006652B1"/>
    <w:pPr>
      <w:ind w:firstLine="0"/>
    </w:pPr>
  </w:style>
  <w:style w:type="paragraph" w:styleId="ListContinue3">
    <w:name w:val="List Continue 3"/>
    <w:basedOn w:val="List3"/>
    <w:rsid w:val="006652B1"/>
    <w:pPr>
      <w:ind w:left="1021" w:firstLine="0"/>
    </w:pPr>
  </w:style>
  <w:style w:type="paragraph" w:styleId="ListContinue4">
    <w:name w:val="List Continue 4"/>
    <w:basedOn w:val="List4"/>
    <w:rsid w:val="006652B1"/>
    <w:pPr>
      <w:ind w:firstLine="0"/>
    </w:pPr>
  </w:style>
  <w:style w:type="paragraph" w:styleId="ListContinue5">
    <w:name w:val="List Continue 5"/>
    <w:basedOn w:val="List5"/>
    <w:rsid w:val="006652B1"/>
    <w:pPr>
      <w:ind w:firstLine="0"/>
    </w:pPr>
  </w:style>
  <w:style w:type="paragraph" w:styleId="ListNumber3">
    <w:name w:val="List Number 3"/>
    <w:basedOn w:val="List3"/>
    <w:rsid w:val="006652B1"/>
    <w:pPr>
      <w:numPr>
        <w:numId w:val="6"/>
      </w:numPr>
    </w:pPr>
  </w:style>
  <w:style w:type="paragraph" w:styleId="ListNumber4">
    <w:name w:val="List Number 4"/>
    <w:basedOn w:val="List4"/>
    <w:rsid w:val="006652B1"/>
    <w:pPr>
      <w:numPr>
        <w:numId w:val="7"/>
      </w:numPr>
    </w:pPr>
  </w:style>
  <w:style w:type="paragraph" w:styleId="ListNumber5">
    <w:name w:val="List Number 5"/>
    <w:basedOn w:val="List5"/>
    <w:rsid w:val="006652B1"/>
    <w:pPr>
      <w:numPr>
        <w:numId w:val="8"/>
      </w:numPr>
    </w:pPr>
  </w:style>
  <w:style w:type="paragraph" w:styleId="BlockText">
    <w:name w:val="Block Text"/>
    <w:basedOn w:val="Normal"/>
    <w:rsid w:val="006652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52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52B1"/>
    <w:rPr>
      <w:sz w:val="16"/>
      <w:vertAlign w:val="superscript"/>
    </w:rPr>
  </w:style>
  <w:style w:type="character" w:customStyle="1" w:styleId="Symbols">
    <w:name w:val="Symbols"/>
    <w:basedOn w:val="DefaultParagraphFont"/>
    <w:rsid w:val="006652B1"/>
    <w:rPr>
      <w:rFonts w:ascii="Symbol" w:hAnsi="Symbol"/>
    </w:rPr>
  </w:style>
  <w:style w:type="character" w:customStyle="1" w:styleId="MenuOptions">
    <w:name w:val="Menu Options"/>
    <w:basedOn w:val="DefaultParagraphFont"/>
    <w:rsid w:val="006652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52B1"/>
    <w:rPr>
      <w:b/>
    </w:rPr>
  </w:style>
  <w:style w:type="character" w:customStyle="1" w:styleId="Underlined">
    <w:name w:val="Underlined"/>
    <w:basedOn w:val="DefaultParagraphFont"/>
    <w:rsid w:val="006652B1"/>
    <w:rPr>
      <w:u w:val="single"/>
    </w:rPr>
  </w:style>
  <w:style w:type="paragraph" w:customStyle="1" w:styleId="TableBodyTextRight">
    <w:name w:val="Table Body Text Right"/>
    <w:basedOn w:val="TableBodyText"/>
    <w:rsid w:val="006652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52B1"/>
    <w:rPr>
      <w:sz w:val="18"/>
    </w:rPr>
  </w:style>
  <w:style w:type="paragraph" w:customStyle="1" w:styleId="BodySmallRight">
    <w:name w:val="Body Small Right"/>
    <w:basedOn w:val="BodyTextRight"/>
    <w:rsid w:val="006652B1"/>
    <w:rPr>
      <w:sz w:val="18"/>
      <w:szCs w:val="18"/>
    </w:rPr>
  </w:style>
  <w:style w:type="paragraph" w:customStyle="1" w:styleId="MarginEdition">
    <w:name w:val="Margin Edition"/>
    <w:basedOn w:val="MarginNote"/>
    <w:rsid w:val="006652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52B1"/>
    <w:rPr>
      <w:sz w:val="2"/>
      <w:szCs w:val="2"/>
    </w:rPr>
  </w:style>
  <w:style w:type="character" w:customStyle="1" w:styleId="Small">
    <w:name w:val="Small"/>
    <w:basedOn w:val="DefaultParagraphFont"/>
    <w:rsid w:val="006652B1"/>
    <w:rPr>
      <w:sz w:val="16"/>
    </w:rPr>
  </w:style>
  <w:style w:type="paragraph" w:customStyle="1" w:styleId="WideTable">
    <w:name w:val="Wide Table"/>
    <w:basedOn w:val="Normal"/>
    <w:rsid w:val="006652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52B1"/>
  </w:style>
  <w:style w:type="paragraph" w:styleId="Quote">
    <w:name w:val="Quote"/>
    <w:basedOn w:val="Heading1"/>
    <w:link w:val="QuoteChar"/>
    <w:qFormat/>
    <w:rsid w:val="006652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52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52B1"/>
    <w:pPr>
      <w:pageBreakBefore/>
    </w:pPr>
  </w:style>
  <w:style w:type="paragraph" w:customStyle="1" w:styleId="Border">
    <w:name w:val="Border"/>
    <w:basedOn w:val="Normal"/>
    <w:qFormat/>
    <w:rsid w:val="006652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52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2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2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52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52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52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52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52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52B1"/>
    <w:rPr>
      <w:u w:val="single"/>
    </w:rPr>
  </w:style>
  <w:style w:type="character" w:customStyle="1" w:styleId="BoldandItalics">
    <w:name w:val="Bold and Italics"/>
    <w:qFormat/>
    <w:rsid w:val="006652B1"/>
    <w:rPr>
      <w:b/>
      <w:i/>
      <w:u w:val="none"/>
    </w:rPr>
  </w:style>
  <w:style w:type="paragraph" w:styleId="BalloonText">
    <w:name w:val="Balloon Text"/>
    <w:basedOn w:val="Normal"/>
    <w:link w:val="BalloonTextChar"/>
    <w:rsid w:val="006652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52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52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52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52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52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52B1"/>
    <w:pPr>
      <w:spacing w:before="0" w:after="0"/>
    </w:pPr>
  </w:style>
  <w:style w:type="paragraph" w:customStyle="1" w:styleId="BodyTextBold">
    <w:name w:val="Body Text Bold"/>
    <w:basedOn w:val="BodyText"/>
    <w:qFormat/>
    <w:rsid w:val="006652B1"/>
    <w:rPr>
      <w:b/>
    </w:rPr>
  </w:style>
  <w:style w:type="character" w:styleId="Hyperlink">
    <w:name w:val="Hyperlink"/>
    <w:basedOn w:val="DefaultParagraphFont"/>
    <w:uiPriority w:val="99"/>
    <w:unhideWhenUsed/>
    <w:rsid w:val="00110E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2353</Characters>
  <Application>Microsoft Office Word</Application>
  <DocSecurity>0</DocSecurity>
  <Lines>69</Lines>
  <Paragraphs>55</Paragraphs>
  <ScaleCrop>false</ScaleCrop>
  <Company>Author-it Software Corporation Ltd.</Company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MSFFM3045 Set up, operate and maintain computer numerically controlled (CNC) machining and processing centres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2022-12-21T05:51:00Z</dcterms:created>
  <dcterms:modified xsi:type="dcterms:W3CDTF">2022-12-21T05:51:00Z</dcterms:modified>
</cp:coreProperties>
</file>