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4BA7" w:rsidP="00DF4B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MSFFM3038 Set up, operate and maintain automated edge banding machines</w:t>
      </w:r>
      <w:r>
        <w:fldChar w:fldCharType="end"/>
      </w:r>
    </w:p>
    <w:p w:rsidR="00DF4BA7" w:rsidP="00DF4BA7">
      <w:pPr>
        <w:pStyle w:val="Version"/>
        <w:sectPr w:rsidSect="00CE4B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B63" w:rsidP="00CE4B63">
      <w:pPr>
        <w:pStyle w:val="SuperHeading"/>
      </w:pPr>
      <w:r w:rsidRPr="00CE4B63">
        <w:t>MSFFM3038 Set up, operate and maintain automated edge banding machines</w:t>
      </w:r>
    </w:p>
    <w:p w:rsidR="00000000" w:rsidRPr="00CE4B63" w:rsidP="00CE4B63">
      <w:pPr>
        <w:pStyle w:val="Heading1"/>
      </w:pPr>
      <w:bookmarkStart w:id="1" w:name="O_1248111"/>
      <w:bookmarkEnd w:id="1"/>
      <w:r w:rsidRPr="00CE4B63">
        <w:t>Modification History</w:t>
      </w:r>
    </w:p>
    <w:p w:rsidR="00DF4BA7" w:rsidP="00DF4BA7">
      <w:pPr>
        <w:pStyle w:val="BodyText"/>
      </w:pPr>
      <w:r w:rsidRPr="00CE4B63">
        <w:t>Release 1. Changes to code, application, elements, performance criteria, assessment requir</w:t>
      </w:r>
      <w:r w:rsidRPr="00CE4B63">
        <w:t xml:space="preserve">ements. Foundation skills added. Range of conditions removed. Assessment requirements changed. </w:t>
      </w:r>
    </w:p>
    <w:p w:rsidR="00000000" w:rsidRPr="00CE4B63" w:rsidP="00CE4B63">
      <w:pPr>
        <w:pStyle w:val="Heading1"/>
      </w:pPr>
      <w:bookmarkStart w:id="2" w:name="O_1248112"/>
      <w:bookmarkEnd w:id="2"/>
      <w:r w:rsidRPr="00CE4B63">
        <w:t>Application</w:t>
      </w:r>
    </w:p>
    <w:p w:rsidR="00000000" w:rsidRPr="00CE4B63" w:rsidP="00DF4BA7">
      <w:pPr>
        <w:pStyle w:val="BodyText"/>
      </w:pPr>
      <w:r w:rsidRPr="00CE4B63">
        <w:t xml:space="preserve">This unit describes the skills and knowledge required to set up, operate and maintain edge banding machines which use automated </w:t>
      </w:r>
      <w:r w:rsidRPr="00CE4B63">
        <w:t>processes to apply and process an edge trim to solid timber or manufactured board.</w:t>
      </w:r>
    </w:p>
    <w:p w:rsidR="00000000" w:rsidRPr="00CE4B63" w:rsidP="00DF4BA7">
      <w:pPr>
        <w:pStyle w:val="BodyText"/>
      </w:pPr>
      <w:r w:rsidRPr="00CE4B63">
        <w:t>Workers with this competency follow established procedures in timber technology industries, using discretion, judgement and problem solving to identify and resolve routine p</w:t>
      </w:r>
      <w:r w:rsidRPr="00CE4B63">
        <w:t>roduct and machine issues.</w:t>
      </w:r>
    </w:p>
    <w:p w:rsidR="00DF4BA7" w:rsidP="00DF4BA7">
      <w:pPr>
        <w:pStyle w:val="BodyText"/>
      </w:pPr>
      <w:r w:rsidRPr="00CE4B63">
        <w:t>No licensing or certification requirements exist at the time of publication. Relevant legislation, industry standards and codes of practice within Australia must be applied.</w:t>
      </w:r>
    </w:p>
    <w:p w:rsidR="00000000" w:rsidRPr="00CE4B63" w:rsidP="00CE4B63">
      <w:pPr>
        <w:pStyle w:val="Heading1"/>
      </w:pPr>
      <w:bookmarkStart w:id="3" w:name="O_1248114"/>
      <w:bookmarkEnd w:id="3"/>
      <w:r w:rsidRPr="00CE4B63">
        <w:t>Competency Field</w:t>
      </w:r>
    </w:p>
    <w:p w:rsidR="00DF4BA7" w:rsidP="00DF4BA7">
      <w:pPr>
        <w:pStyle w:val="BodyText"/>
      </w:pPr>
      <w:r w:rsidRPr="00CE4B63">
        <w:t>Wood machining</w:t>
      </w:r>
    </w:p>
    <w:p w:rsidR="00000000" w:rsidRPr="00CE4B63" w:rsidP="00CE4B63">
      <w:pPr>
        <w:pStyle w:val="Heading1"/>
      </w:pPr>
      <w:bookmarkStart w:id="4" w:name="O_1248116"/>
      <w:bookmarkEnd w:id="4"/>
      <w:r w:rsidRPr="00CE4B63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DF4B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63" w:rsidP="00CE4B63">
            <w:pPr>
              <w:pStyle w:val="BodyText"/>
            </w:pPr>
            <w:r w:rsidRPr="00CE4B63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rPr>
                <w:rStyle w:val="SpecialBold"/>
              </w:rPr>
              <w:t>Performance Criteria</w:t>
            </w:r>
          </w:p>
        </w:tc>
      </w:tr>
      <w:tr w:rsidTr="00DF4B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>Performance criteria describe the performance needed to demonstrate achievement of the element.</w:t>
            </w:r>
          </w:p>
        </w:tc>
      </w:tr>
      <w:tr w:rsidTr="00DF4B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DF4BA7" w:rsidP="00CE4B63">
            <w:pPr>
              <w:pStyle w:val="BodyText"/>
            </w:pPr>
            <w:r w:rsidRPr="00CE4B63">
              <w:t>1. Prepare for task</w:t>
            </w:r>
          </w:p>
          <w:p w:rsidR="00DF4BA7" w:rsidP="00CE4B63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63" w:rsidP="00CE4B63">
            <w:pPr>
              <w:pStyle w:val="BodyText"/>
            </w:pPr>
            <w:r w:rsidRPr="00CE4B63">
              <w:t xml:space="preserve">1.1 Determine task requirements and edging specifications from work documentation </w:t>
            </w:r>
          </w:p>
          <w:p w:rsidR="00000000" w:rsidRPr="00CE4B63" w:rsidP="00CE4B63">
            <w:pPr>
              <w:pStyle w:val="BodyText"/>
            </w:pPr>
            <w:r w:rsidRPr="00CE4B63">
              <w:t>1.2 Identify and follow work health and safety requirements</w:t>
            </w:r>
          </w:p>
          <w:p w:rsidR="00000000" w:rsidRPr="00CE4B63" w:rsidP="00CE4B63">
            <w:pPr>
              <w:pStyle w:val="BodyText"/>
            </w:pPr>
            <w:r w:rsidRPr="00CE4B63">
              <w:t xml:space="preserve">1.3 Select material for machining and check it meets task quality requirements </w:t>
            </w:r>
          </w:p>
          <w:p w:rsidR="00000000" w:rsidRPr="00CE4B63" w:rsidP="00CE4B63">
            <w:pPr>
              <w:pStyle w:val="BodyText"/>
            </w:pPr>
            <w:r w:rsidRPr="00CE4B63">
              <w:t xml:space="preserve">1.4 Check that cutting tools and </w:t>
            </w:r>
            <w:r w:rsidRPr="00CE4B63">
              <w:t>other required tools and equipment are available, safe and functional</w:t>
            </w:r>
          </w:p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>1.5 Identify procedures for waste minimisation and energy efficiency while completing task</w:t>
            </w:r>
          </w:p>
        </w:tc>
      </w:tr>
      <w:tr w:rsidTr="00DF4B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63" w:rsidP="00CE4B63">
            <w:pPr>
              <w:pStyle w:val="BodyText"/>
            </w:pPr>
            <w:r w:rsidRPr="00CE4B63">
              <w:t>2. Set up machines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63" w:rsidP="00CE4B63">
            <w:pPr>
              <w:pStyle w:val="BodyText"/>
            </w:pPr>
            <w:r w:rsidRPr="00CE4B63">
              <w:t>2.1 Check that emergency stops, gauges, guards, controls and safety equipment are functional prior to machine start-up</w:t>
            </w:r>
          </w:p>
          <w:p w:rsidR="00000000" w:rsidRPr="00CE4B63" w:rsidP="00CE4B63">
            <w:pPr>
              <w:pStyle w:val="BodyText"/>
            </w:pPr>
            <w:r w:rsidRPr="00CE4B63">
              <w:t xml:space="preserve">2.2 Complete machine settings and adjust to meet task requirements in compliance with manufacturer instructions </w:t>
            </w:r>
          </w:p>
          <w:p w:rsidR="00000000" w:rsidRPr="00CE4B63" w:rsidP="00CE4B63">
            <w:pPr>
              <w:pStyle w:val="BodyText"/>
            </w:pPr>
            <w:r w:rsidRPr="00CE4B63">
              <w:t xml:space="preserve">2.3 Complete trial runs </w:t>
            </w:r>
            <w:r w:rsidRPr="00CE4B63">
              <w:t>to check that machine is fully functional and that finished work meets task accuracy and quality requirements</w:t>
            </w:r>
          </w:p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>2.4 Identify and make necessary adjustments to machine settings to meet task quality and efficiency requirements</w:t>
            </w:r>
          </w:p>
        </w:tc>
      </w:tr>
      <w:tr w:rsidTr="00DF4B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>3. Operate machines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63" w:rsidP="00CE4B63">
            <w:pPr>
              <w:pStyle w:val="BodyText"/>
            </w:pPr>
            <w:r w:rsidRPr="00CE4B63">
              <w:t>3.1 Follow m</w:t>
            </w:r>
            <w:r w:rsidRPr="00CE4B63">
              <w:t>achine start-up procedures in accordance with manufacturer instructions</w:t>
            </w:r>
          </w:p>
          <w:p w:rsidR="00000000" w:rsidRPr="00CE4B63" w:rsidP="00CE4B63">
            <w:pPr>
              <w:pStyle w:val="BodyText"/>
            </w:pPr>
            <w:r w:rsidRPr="00CE4B63">
              <w:t>3.2 Position material to be machined in accordance with manufacturer instructions, tooling requirements, and safe handling and workplace procedures</w:t>
            </w:r>
          </w:p>
          <w:p w:rsidR="00000000" w:rsidRPr="00CE4B63" w:rsidP="00CE4B63">
            <w:pPr>
              <w:pStyle w:val="BodyText"/>
            </w:pPr>
            <w:r w:rsidRPr="00CE4B63">
              <w:t>3.3 Operate machine in accordance wi</w:t>
            </w:r>
            <w:r w:rsidRPr="00CE4B63">
              <w:t>th its designed capacity and purpose, and to manufacturer recommendations</w:t>
            </w:r>
          </w:p>
          <w:p w:rsidR="00000000" w:rsidRPr="00CE4B63" w:rsidP="00CE4B63">
            <w:pPr>
              <w:pStyle w:val="BodyText"/>
            </w:pPr>
            <w:r w:rsidRPr="00CE4B63">
              <w:t>3.4 Monitor machine operation to ensure product quality and output</w:t>
            </w:r>
          </w:p>
          <w:p w:rsidR="00000000" w:rsidRPr="00CE4B63" w:rsidP="00CE4B63">
            <w:pPr>
              <w:pStyle w:val="BodyText"/>
            </w:pPr>
            <w:r w:rsidRPr="00CE4B63">
              <w:t>3.5 Check waste quantities and make adjustments to minimise waste</w:t>
            </w:r>
          </w:p>
          <w:p w:rsidR="00000000" w:rsidRPr="00CE4B63" w:rsidP="00CE4B63">
            <w:pPr>
              <w:pStyle w:val="BodyText"/>
            </w:pPr>
            <w:r w:rsidRPr="00CE4B63">
              <w:t>3.6 Identify items that do not meet quality requi</w:t>
            </w:r>
            <w:r w:rsidRPr="00CE4B63">
              <w:t>rements and recycle or discard in accordance with workplace procedures</w:t>
            </w:r>
          </w:p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>3.7 Recognise problems with product or machine operation and resolve or report to appropriate persons in accordance with workplace procedures</w:t>
            </w:r>
          </w:p>
        </w:tc>
      </w:tr>
      <w:tr w:rsidTr="00DF4BA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B63">
            <w:pPr>
              <w:pStyle w:val="BodyText"/>
              <w:rPr>
                <w:lang w:val="en-NZ"/>
              </w:rPr>
            </w:pPr>
            <w:r w:rsidRPr="00CE4B63">
              <w:t xml:space="preserve">4. Finalise task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B63" w:rsidP="00CE4B63">
            <w:pPr>
              <w:pStyle w:val="BodyText"/>
            </w:pPr>
            <w:r w:rsidRPr="00CE4B63">
              <w:t>4.1 Clean work area, saf</w:t>
            </w:r>
            <w:r w:rsidRPr="00CE4B63">
              <w:t>ely dispose of waste and identify items for recycling in accordance with workplace procedures and environmental standards</w:t>
            </w:r>
          </w:p>
          <w:p w:rsidR="00000000" w:rsidRPr="00CE4B63" w:rsidP="00CE4B63">
            <w:pPr>
              <w:pStyle w:val="BodyText"/>
            </w:pPr>
            <w:r w:rsidRPr="00CE4B63">
              <w:t>4.2 Clean machinery, complete routine maintenance and leave in safe mode in accordance with workplace procedures</w:t>
            </w:r>
          </w:p>
          <w:p w:rsidR="00000000" w:rsidRPr="00CE4B63" w:rsidP="00CE4B63">
            <w:pPr>
              <w:pStyle w:val="BodyText"/>
            </w:pPr>
            <w:r w:rsidRPr="00CE4B63">
              <w:t>4.3 Identify, tag and</w:t>
            </w:r>
            <w:r w:rsidRPr="00CE4B63">
              <w:t xml:space="preserve"> report faulty equipment in accordance with workplace procedures</w:t>
            </w:r>
          </w:p>
          <w:p w:rsidR="00000000" w:rsidRPr="00CE4B63" w:rsidP="00CE4B63">
            <w:pPr>
              <w:pStyle w:val="BodyText"/>
            </w:pPr>
            <w:r w:rsidRPr="00CE4B63">
              <w:t>4.4 Complete task documentation in accordance with workplace procedures</w:t>
            </w:r>
          </w:p>
        </w:tc>
      </w:tr>
    </w:tbl>
    <w:p w:rsidR="00DF4BA7" w:rsidP="00CE4B63">
      <w:pPr>
        <w:pStyle w:val="BodyText"/>
      </w:pPr>
    </w:p>
    <w:p w:rsidR="00DF4BA7" w:rsidP="00CE4B63">
      <w:pPr>
        <w:pStyle w:val="BodyText"/>
      </w:pPr>
    </w:p>
    <w:p w:rsidR="00000000" w:rsidRPr="00CE4B63" w:rsidP="00CE4B63">
      <w:pPr>
        <w:pStyle w:val="Heading1"/>
      </w:pPr>
      <w:bookmarkStart w:id="5" w:name="O_1248117"/>
      <w:bookmarkEnd w:id="5"/>
      <w:r w:rsidRPr="00CE4B63">
        <w:t>Foundation Skills</w:t>
      </w:r>
    </w:p>
    <w:p w:rsidR="00000000" w:rsidRPr="00CE4B63" w:rsidP="00DF4BA7">
      <w:pPr>
        <w:pStyle w:val="BodyText"/>
      </w:pPr>
      <w:r w:rsidRPr="00CE4B63">
        <w:t>This section describes those language, literacy, numeracy and employment skills that are essential to performance but not explicit in the performance criteria.</w:t>
      </w:r>
    </w:p>
    <w:p w:rsidR="00000000" w:rsidRPr="00CE4B63" w:rsidP="00CE4B63">
      <w:pPr>
        <w:pStyle w:val="ListBullet"/>
      </w:pPr>
      <w:r w:rsidRPr="00CE4B63">
        <w:t>Reading skills to interpret familiar workplace procedures, work documentation involving drawing</w:t>
      </w:r>
      <w:r w:rsidRPr="00CE4B63">
        <w:t>s and product specifications</w:t>
      </w:r>
    </w:p>
    <w:p w:rsidR="00000000" w:rsidRPr="00CE4B63" w:rsidP="00CE4B63">
      <w:pPr>
        <w:pStyle w:val="ListBullet"/>
      </w:pPr>
      <w:r w:rsidRPr="00CE4B63">
        <w:t>Writing skills to communicate information in familiar workplace documents</w:t>
      </w:r>
    </w:p>
    <w:p w:rsidR="00000000" w:rsidRPr="00CE4B63" w:rsidP="00CE4B63">
      <w:pPr>
        <w:pStyle w:val="ListBullet"/>
      </w:pPr>
      <w:r w:rsidRPr="00CE4B63">
        <w:t>Numeracy skills to measure and calculate area and estimate material requirements.</w:t>
      </w:r>
    </w:p>
    <w:p w:rsidR="00000000" w:rsidRPr="00CE4B63" w:rsidP="00DF4BA7">
      <w:pPr>
        <w:pStyle w:val="BodyText"/>
      </w:pPr>
      <w:r w:rsidRPr="00CE4B63">
        <w:t>Other foundation skills essential to performance are explicit in the pe</w:t>
      </w:r>
      <w:r w:rsidRPr="00CE4B63">
        <w:t>rformance criteria of this unit.</w:t>
      </w:r>
    </w:p>
    <w:p w:rsidR="00000000" w:rsidRPr="00CE4B63" w:rsidP="00CE4B63">
      <w:pPr>
        <w:pStyle w:val="Heading1"/>
      </w:pPr>
      <w:bookmarkStart w:id="6" w:name="O_1248119"/>
      <w:bookmarkEnd w:id="6"/>
      <w:r w:rsidRPr="00CE4B63">
        <w:t>Unit Mapping Information</w:t>
      </w:r>
    </w:p>
    <w:p w:rsidR="00DF4BA7" w:rsidP="00DF4BA7">
      <w:pPr>
        <w:pStyle w:val="BodyText"/>
      </w:pPr>
      <w:r w:rsidRPr="00CE4B63">
        <w:t>Release 1. Supersedes and is equivalent to MSFFM3019 Set up, operate and maintain automated edge banding machines.</w:t>
      </w:r>
    </w:p>
    <w:p w:rsidR="00000000" w:rsidRPr="00CE4B63" w:rsidP="00CE4B63">
      <w:pPr>
        <w:pStyle w:val="Heading1"/>
      </w:pPr>
      <w:bookmarkStart w:id="7" w:name="O_1248126"/>
      <w:bookmarkEnd w:id="7"/>
      <w:r w:rsidRPr="00CE4B63">
        <w:t>Links</w:t>
      </w:r>
    </w:p>
    <w:p w:rsidR="00000000" w:rsidRPr="00CE4B63" w:rsidP="00DF4BA7">
      <w:pPr>
        <w:pStyle w:val="BodyText"/>
      </w:pPr>
      <w:r w:rsidRPr="00CE4B63">
        <w:t>Companion Volume implementation guides</w:t>
      </w:r>
      <w:r w:rsidRPr="00CE4B63">
        <w:t xml:space="preserve">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50345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E4B63" w:rsidP="00CE4B63"/>
    <w:sectPr w:rsidSect="00CE4B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63" w:rsidRPr="00DF4BA7" w:rsidP="00DF4B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A7" w:rsidP="00CE4B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4BA7" w:rsidP="00CE4B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F4BA7" w:rsidP="00CE4B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B63" w:rsidRPr="00DF4BA7" w:rsidP="00DF4B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B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4BA7" w:rsidRPr="002D2AF8" w:rsidP="00CE4B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MSFFM3038 Set up, operate and maintain automated edge banding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DF4BA7" w:rsidP="00CE4B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06B7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E7CCA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B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B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B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B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B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B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B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B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B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B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B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B63"/>
  </w:style>
  <w:style w:type="character" w:customStyle="1" w:styleId="Heading1Char">
    <w:name w:val="Heading 1 Char"/>
    <w:basedOn w:val="DefaultParagraphFont"/>
    <w:link w:val="Heading1"/>
    <w:rsid w:val="00CE4B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B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B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B6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E4B63"/>
    <w:rPr>
      <w:b/>
      <w:spacing w:val="0"/>
    </w:rPr>
  </w:style>
  <w:style w:type="paragraph" w:customStyle="1" w:styleId="SuperHeading">
    <w:name w:val="SuperHeading"/>
    <w:basedOn w:val="Normal"/>
    <w:rsid w:val="00CE4B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B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E4B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B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B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B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B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B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B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B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B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B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B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B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B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B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B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B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B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B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E4B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B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B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E4B6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E4B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B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B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B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B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B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B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B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B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B63"/>
    <w:rPr>
      <w:i/>
    </w:rPr>
  </w:style>
  <w:style w:type="paragraph" w:styleId="Caption">
    <w:name w:val="caption"/>
    <w:basedOn w:val="BodyText"/>
    <w:next w:val="Normal"/>
    <w:qFormat/>
    <w:rsid w:val="00CE4B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B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B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B63"/>
  </w:style>
  <w:style w:type="paragraph" w:styleId="TableofFigures">
    <w:name w:val="table of figures"/>
    <w:basedOn w:val="Normal"/>
    <w:next w:val="Normal"/>
    <w:semiHidden/>
    <w:rsid w:val="00CE4B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B6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E4B63"/>
    <w:rPr>
      <w:rFonts w:ascii="Wingdings" w:hAnsi="Wingdings"/>
    </w:rPr>
  </w:style>
  <w:style w:type="paragraph" w:customStyle="1" w:styleId="TableHeading">
    <w:name w:val="Table Heading"/>
    <w:basedOn w:val="HeadingBase"/>
    <w:rsid w:val="00CE4B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B63"/>
    <w:rPr>
      <w:color w:val="0033CC"/>
      <w:u w:val="none"/>
    </w:rPr>
  </w:style>
  <w:style w:type="paragraph" w:customStyle="1" w:styleId="BodyTextRight">
    <w:name w:val="Body Text Right"/>
    <w:basedOn w:val="BodyText"/>
    <w:rsid w:val="00CE4B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B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B6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B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B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B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B63"/>
    <w:rPr>
      <w:sz w:val="32"/>
    </w:rPr>
  </w:style>
  <w:style w:type="paragraph" w:customStyle="1" w:styleId="HeadingProcedure">
    <w:name w:val="Heading Procedure"/>
    <w:basedOn w:val="HeadingBase"/>
    <w:next w:val="Normal"/>
    <w:rsid w:val="00CE4B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B63"/>
    <w:pPr>
      <w:spacing w:before="60" w:after="60"/>
    </w:pPr>
  </w:style>
  <w:style w:type="paragraph" w:styleId="ListContinue">
    <w:name w:val="List Continue"/>
    <w:basedOn w:val="List"/>
    <w:rsid w:val="00CE4B63"/>
    <w:pPr>
      <w:ind w:firstLine="0"/>
    </w:pPr>
  </w:style>
  <w:style w:type="paragraph" w:customStyle="1" w:styleId="ListNote">
    <w:name w:val="List Note"/>
    <w:basedOn w:val="List"/>
    <w:rsid w:val="00CE4B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B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B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B63"/>
    <w:rPr>
      <w:rFonts w:ascii="Courier New" w:hAnsi="Courier New"/>
    </w:rPr>
  </w:style>
  <w:style w:type="paragraph" w:customStyle="1" w:styleId="NoteBullet">
    <w:name w:val="Note Bullet"/>
    <w:basedOn w:val="Note"/>
    <w:rsid w:val="00CE4B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B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B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B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B6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E4B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B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B63"/>
    <w:rPr>
      <w:b/>
      <w:smallCaps/>
    </w:rPr>
  </w:style>
  <w:style w:type="paragraph" w:customStyle="1" w:styleId="TableListNumber">
    <w:name w:val="Table List Number"/>
    <w:basedOn w:val="ListNumber"/>
    <w:rsid w:val="00CE4B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B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B63"/>
    <w:pPr>
      <w:numPr>
        <w:numId w:val="8"/>
      </w:numPr>
    </w:pPr>
  </w:style>
  <w:style w:type="paragraph" w:customStyle="1" w:styleId="ListAlpha2">
    <w:name w:val="List Alpha 2"/>
    <w:basedOn w:val="List2"/>
    <w:rsid w:val="00CE4B63"/>
    <w:pPr>
      <w:numPr>
        <w:numId w:val="7"/>
      </w:numPr>
    </w:pPr>
  </w:style>
  <w:style w:type="paragraph" w:styleId="List2">
    <w:name w:val="List 2"/>
    <w:basedOn w:val="BodyText"/>
    <w:rsid w:val="00CE4B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B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B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B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B6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B6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E4B63"/>
    <w:pPr>
      <w:numPr>
        <w:numId w:val="3"/>
      </w:numPr>
    </w:pPr>
  </w:style>
  <w:style w:type="paragraph" w:styleId="ListContinue2">
    <w:name w:val="List Continue 2"/>
    <w:basedOn w:val="List2"/>
    <w:rsid w:val="00CE4B63"/>
    <w:pPr>
      <w:ind w:firstLine="0"/>
    </w:pPr>
  </w:style>
  <w:style w:type="paragraph" w:styleId="ListContinue3">
    <w:name w:val="List Continue 3"/>
    <w:basedOn w:val="List3"/>
    <w:rsid w:val="00CE4B63"/>
    <w:pPr>
      <w:ind w:left="1021" w:firstLine="0"/>
    </w:pPr>
  </w:style>
  <w:style w:type="paragraph" w:styleId="ListContinue4">
    <w:name w:val="List Continue 4"/>
    <w:basedOn w:val="List4"/>
    <w:rsid w:val="00CE4B63"/>
    <w:pPr>
      <w:ind w:firstLine="0"/>
    </w:pPr>
  </w:style>
  <w:style w:type="paragraph" w:styleId="ListContinue5">
    <w:name w:val="List Continue 5"/>
    <w:basedOn w:val="List5"/>
    <w:rsid w:val="00CE4B63"/>
    <w:pPr>
      <w:ind w:firstLine="0"/>
    </w:pPr>
  </w:style>
  <w:style w:type="paragraph" w:styleId="ListNumber3">
    <w:name w:val="List Number 3"/>
    <w:basedOn w:val="List3"/>
    <w:rsid w:val="00CE4B63"/>
    <w:pPr>
      <w:numPr>
        <w:numId w:val="4"/>
      </w:numPr>
    </w:pPr>
  </w:style>
  <w:style w:type="paragraph" w:styleId="ListNumber4">
    <w:name w:val="List Number 4"/>
    <w:basedOn w:val="List4"/>
    <w:rsid w:val="00CE4B63"/>
    <w:pPr>
      <w:numPr>
        <w:numId w:val="5"/>
      </w:numPr>
    </w:pPr>
  </w:style>
  <w:style w:type="paragraph" w:styleId="ListNumber5">
    <w:name w:val="List Number 5"/>
    <w:basedOn w:val="List5"/>
    <w:rsid w:val="00CE4B63"/>
    <w:pPr>
      <w:numPr>
        <w:numId w:val="6"/>
      </w:numPr>
    </w:pPr>
  </w:style>
  <w:style w:type="paragraph" w:styleId="BlockText">
    <w:name w:val="Block Text"/>
    <w:basedOn w:val="Normal"/>
    <w:rsid w:val="00CE4B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B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B63"/>
    <w:rPr>
      <w:sz w:val="16"/>
      <w:vertAlign w:val="superscript"/>
    </w:rPr>
  </w:style>
  <w:style w:type="character" w:customStyle="1" w:styleId="Symbols">
    <w:name w:val="Symbols"/>
    <w:basedOn w:val="DefaultParagraphFont"/>
    <w:rsid w:val="00CE4B63"/>
    <w:rPr>
      <w:rFonts w:ascii="Symbol" w:hAnsi="Symbol"/>
    </w:rPr>
  </w:style>
  <w:style w:type="character" w:customStyle="1" w:styleId="MenuOptions">
    <w:name w:val="Menu Options"/>
    <w:basedOn w:val="DefaultParagraphFont"/>
    <w:rsid w:val="00CE4B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B63"/>
    <w:rPr>
      <w:b/>
    </w:rPr>
  </w:style>
  <w:style w:type="character" w:customStyle="1" w:styleId="Underlined">
    <w:name w:val="Underlined"/>
    <w:basedOn w:val="DefaultParagraphFont"/>
    <w:rsid w:val="00CE4B63"/>
    <w:rPr>
      <w:u w:val="single"/>
    </w:rPr>
  </w:style>
  <w:style w:type="paragraph" w:customStyle="1" w:styleId="TableBodyTextRight">
    <w:name w:val="Table Body Text Right"/>
    <w:basedOn w:val="TableBodyText"/>
    <w:rsid w:val="00CE4B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B63"/>
    <w:rPr>
      <w:sz w:val="18"/>
    </w:rPr>
  </w:style>
  <w:style w:type="paragraph" w:customStyle="1" w:styleId="BodySmallRight">
    <w:name w:val="Body Small Right"/>
    <w:basedOn w:val="BodyTextRight"/>
    <w:rsid w:val="00CE4B63"/>
    <w:rPr>
      <w:sz w:val="18"/>
      <w:szCs w:val="18"/>
    </w:rPr>
  </w:style>
  <w:style w:type="paragraph" w:customStyle="1" w:styleId="MarginEdition">
    <w:name w:val="Margin Edition"/>
    <w:basedOn w:val="MarginNote"/>
    <w:rsid w:val="00CE4B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B63"/>
    <w:rPr>
      <w:sz w:val="2"/>
      <w:szCs w:val="2"/>
    </w:rPr>
  </w:style>
  <w:style w:type="character" w:customStyle="1" w:styleId="Small">
    <w:name w:val="Small"/>
    <w:basedOn w:val="DefaultParagraphFont"/>
    <w:rsid w:val="00CE4B63"/>
    <w:rPr>
      <w:sz w:val="16"/>
    </w:rPr>
  </w:style>
  <w:style w:type="paragraph" w:customStyle="1" w:styleId="WideTable">
    <w:name w:val="Wide Table"/>
    <w:basedOn w:val="Normal"/>
    <w:rsid w:val="00CE4B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B63"/>
  </w:style>
  <w:style w:type="paragraph" w:styleId="Quote">
    <w:name w:val="Quote"/>
    <w:basedOn w:val="Heading1"/>
    <w:link w:val="QuoteChar"/>
    <w:qFormat/>
    <w:rsid w:val="00CE4B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B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B63"/>
    <w:pPr>
      <w:pageBreakBefore/>
    </w:pPr>
  </w:style>
  <w:style w:type="paragraph" w:customStyle="1" w:styleId="Border">
    <w:name w:val="Border"/>
    <w:basedOn w:val="Normal"/>
    <w:qFormat/>
    <w:rsid w:val="00CE4B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B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B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B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B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B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B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B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B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B63"/>
    <w:rPr>
      <w:u w:val="single"/>
    </w:rPr>
  </w:style>
  <w:style w:type="character" w:customStyle="1" w:styleId="BoldandItalics">
    <w:name w:val="Bold and Italics"/>
    <w:qFormat/>
    <w:rsid w:val="00CE4B63"/>
    <w:rPr>
      <w:b/>
      <w:i/>
      <w:u w:val="none"/>
    </w:rPr>
  </w:style>
  <w:style w:type="paragraph" w:styleId="BalloonText">
    <w:name w:val="Balloon Text"/>
    <w:basedOn w:val="Normal"/>
    <w:link w:val="BalloonTextChar"/>
    <w:rsid w:val="00CE4B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B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B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B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B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B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B63"/>
    <w:pPr>
      <w:spacing w:before="0" w:after="0"/>
    </w:pPr>
  </w:style>
  <w:style w:type="paragraph" w:customStyle="1" w:styleId="BodyTextBold">
    <w:name w:val="Body Text Bold"/>
    <w:basedOn w:val="BodyText"/>
    <w:qFormat/>
    <w:rsid w:val="00CE4B63"/>
    <w:rPr>
      <w:b/>
    </w:rPr>
  </w:style>
  <w:style w:type="character" w:styleId="Hyperlink">
    <w:name w:val="Hyperlink"/>
    <w:basedOn w:val="DefaultParagraphFont"/>
    <w:uiPriority w:val="99"/>
    <w:unhideWhenUsed/>
    <w:rsid w:val="00DF4B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3767</Characters>
  <Application>Microsoft Office Word</Application>
  <DocSecurity>0</DocSecurity>
  <Lines>104</Lines>
  <Paragraphs>59</Paragraphs>
  <ScaleCrop>false</ScaleCrop>
  <Company>Author-it Software Corporation Ltd.</Company>
  <LinksUpToDate>false</LinksUpToDate>
  <CharactersWithSpaces>4297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MSFFM3038 Set up, operate and maintain automated edge banding machines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