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562" w:rsidP="007C7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MSFFM2019 Assemble furnishing products</w:t>
      </w:r>
      <w:r>
        <w:fldChar w:fldCharType="end"/>
      </w:r>
    </w:p>
    <w:p w:rsidR="007C7562" w:rsidP="007C7562">
      <w:pPr>
        <w:pStyle w:val="Version"/>
        <w:sectPr w:rsidSect="00DE6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9B8" w:rsidP="00DE69B8">
      <w:pPr>
        <w:pStyle w:val="SuperHeading"/>
      </w:pPr>
      <w:r w:rsidRPr="00DE69B8">
        <w:t>Assessment Requirements for MSFFM2019 Assemble furnishing products</w:t>
      </w:r>
    </w:p>
    <w:p w:rsidR="00000000" w:rsidRPr="00DE69B8" w:rsidP="00DE69B8">
      <w:pPr>
        <w:pStyle w:val="Heading1"/>
      </w:pPr>
      <w:bookmarkStart w:id="1" w:name="O_1248026"/>
      <w:bookmarkEnd w:id="1"/>
      <w:r w:rsidRPr="00DE69B8">
        <w:t>Modification History</w:t>
      </w:r>
    </w:p>
    <w:p w:rsidR="00000000" w:rsidRPr="00DE69B8" w:rsidP="007C7562">
      <w:pPr>
        <w:pStyle w:val="BodyText"/>
      </w:pPr>
      <w:r w:rsidRPr="00DE69B8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DE69B8" w:rsidP="00DE69B8">
      <w:pPr>
        <w:pStyle w:val="Heading1"/>
      </w:pPr>
      <w:bookmarkStart w:id="2" w:name="O_1248027"/>
      <w:bookmarkEnd w:id="2"/>
      <w:r w:rsidRPr="00DE69B8">
        <w:t>Performance Evidence</w:t>
      </w:r>
    </w:p>
    <w:p w:rsidR="00000000" w:rsidRPr="00DE69B8" w:rsidP="007C7562">
      <w:pPr>
        <w:pStyle w:val="BodyText"/>
      </w:pPr>
      <w:r w:rsidRPr="00DE69B8">
        <w:t>There must be evidence the can</w:t>
      </w:r>
      <w:r w:rsidRPr="00DE69B8">
        <w:t>didate has completed the tasks outlined in the elements and performance criteria of this unit, and demonstrated the ability to:</w:t>
      </w:r>
    </w:p>
    <w:p w:rsidR="00000000" w:rsidRPr="00DE69B8" w:rsidP="00DE69B8">
      <w:pPr>
        <w:pStyle w:val="ListBullet"/>
      </w:pPr>
      <w:r w:rsidRPr="00DE69B8">
        <w:t>assemble at least 2 cabinets (freestanding or fitted) or 1 cabinet and 1 full piece of furniture. Collectively, these must incl</w:t>
      </w:r>
      <w:r w:rsidRPr="00DE69B8">
        <w:t>ude at least 3 of the following:</w:t>
      </w:r>
    </w:p>
    <w:p w:rsidR="00000000" w:rsidRPr="00DE69B8" w:rsidP="00DE69B8">
      <w:pPr>
        <w:pStyle w:val="ListBullet2"/>
      </w:pPr>
      <w:r w:rsidRPr="00DE69B8">
        <w:t>door</w:t>
      </w:r>
    </w:p>
    <w:p w:rsidR="00000000" w:rsidRPr="00DE69B8" w:rsidP="00DE69B8">
      <w:pPr>
        <w:pStyle w:val="ListBullet2"/>
      </w:pPr>
      <w:r w:rsidRPr="00DE69B8">
        <w:t>drawer</w:t>
      </w:r>
    </w:p>
    <w:p w:rsidR="00000000" w:rsidRPr="00DE69B8" w:rsidP="00DE69B8">
      <w:pPr>
        <w:pStyle w:val="ListBullet2"/>
      </w:pPr>
      <w:r w:rsidRPr="00DE69B8">
        <w:t>frame</w:t>
      </w:r>
    </w:p>
    <w:p w:rsidR="00000000" w:rsidRPr="00DE69B8" w:rsidP="00DE69B8">
      <w:pPr>
        <w:pStyle w:val="ListBullet2"/>
      </w:pPr>
      <w:r w:rsidRPr="00DE69B8">
        <w:t>shelve</w:t>
      </w:r>
    </w:p>
    <w:p w:rsidR="00000000" w:rsidRPr="00DE69B8" w:rsidP="00DE69B8">
      <w:pPr>
        <w:pStyle w:val="ListBullet"/>
      </w:pPr>
      <w:r w:rsidRPr="00DE69B8">
        <w:t>attach at least 3 types of hardware, including at least 2 of the following:</w:t>
      </w:r>
    </w:p>
    <w:p w:rsidR="00000000" w:rsidRPr="00DE69B8" w:rsidP="00DE69B8">
      <w:pPr>
        <w:pStyle w:val="ListBullet2"/>
      </w:pPr>
      <w:r w:rsidRPr="00DE69B8">
        <w:t>hinges</w:t>
      </w:r>
    </w:p>
    <w:p w:rsidR="00000000" w:rsidRPr="00DE69B8" w:rsidP="00DE69B8">
      <w:pPr>
        <w:pStyle w:val="ListBullet2"/>
      </w:pPr>
      <w:r w:rsidRPr="00DE69B8">
        <w:t>handles</w:t>
      </w:r>
    </w:p>
    <w:p w:rsidR="00000000" w:rsidRPr="00DE69B8" w:rsidP="00DE69B8">
      <w:pPr>
        <w:pStyle w:val="ListBullet2"/>
      </w:pPr>
      <w:r w:rsidRPr="00DE69B8">
        <w:t>drawer-runners</w:t>
      </w:r>
    </w:p>
    <w:p w:rsidR="00000000" w:rsidRPr="00DE69B8" w:rsidP="00DE69B8">
      <w:pPr>
        <w:pStyle w:val="ListBullet2"/>
      </w:pPr>
      <w:r w:rsidRPr="00DE69B8">
        <w:t>metal drawer systems</w:t>
      </w:r>
    </w:p>
    <w:p w:rsidR="00000000" w:rsidRPr="00DE69B8" w:rsidP="00DE69B8">
      <w:pPr>
        <w:pStyle w:val="ListBullet2"/>
      </w:pPr>
      <w:r w:rsidRPr="00DE69B8">
        <w:t>sliding rail systems.</w:t>
      </w:r>
    </w:p>
    <w:p w:rsidR="00000000" w:rsidRPr="00DE69B8" w:rsidP="00DE69B8">
      <w:pPr>
        <w:pStyle w:val="AllowPageBreak"/>
      </w:pPr>
    </w:p>
    <w:p w:rsidR="00000000" w:rsidRPr="00DE69B8" w:rsidP="00DE69B8">
      <w:pPr>
        <w:pStyle w:val="Heading1"/>
      </w:pPr>
      <w:bookmarkStart w:id="3" w:name="O_1248028"/>
      <w:bookmarkEnd w:id="3"/>
      <w:r w:rsidRPr="00DE69B8">
        <w:t>Knowledge Evidence</w:t>
      </w:r>
    </w:p>
    <w:p w:rsidR="00000000" w:rsidRPr="00DE69B8" w:rsidP="007C7562">
      <w:pPr>
        <w:pStyle w:val="BodyText"/>
      </w:pPr>
      <w:r w:rsidRPr="00DE69B8">
        <w:t>There must be evidence the candidate has knowledge of:</w:t>
      </w:r>
    </w:p>
    <w:p w:rsidR="00000000" w:rsidRPr="00DE69B8" w:rsidP="00DE69B8">
      <w:pPr>
        <w:pStyle w:val="ListBullet"/>
      </w:pPr>
      <w:r w:rsidRPr="00DE69B8">
        <w:t>workplace procedures for:</w:t>
      </w:r>
    </w:p>
    <w:p w:rsidR="00000000" w:rsidRPr="00DE69B8" w:rsidP="00DE69B8">
      <w:pPr>
        <w:pStyle w:val="ListBullet2"/>
      </w:pPr>
      <w:r w:rsidRPr="00DE69B8">
        <w:t>work health and safety</w:t>
      </w:r>
    </w:p>
    <w:p w:rsidR="00000000" w:rsidRPr="00DE69B8" w:rsidP="00DE69B8">
      <w:pPr>
        <w:pStyle w:val="ListBullet2"/>
      </w:pPr>
      <w:r w:rsidRPr="00DE69B8">
        <w:t>quality assurance:</w:t>
      </w:r>
    </w:p>
    <w:p w:rsidR="00000000" w:rsidRPr="00DE69B8" w:rsidP="00DE69B8">
      <w:pPr>
        <w:pStyle w:val="ListBullet3"/>
      </w:pPr>
      <w:r w:rsidRPr="00DE69B8">
        <w:t>squareness, alignment and wind</w:t>
      </w:r>
    </w:p>
    <w:p w:rsidR="00000000" w:rsidRPr="00DE69B8" w:rsidP="00DE69B8">
      <w:pPr>
        <w:pStyle w:val="ListBullet3"/>
      </w:pPr>
      <w:r w:rsidRPr="00DE69B8">
        <w:t>hardware, fittings and attachments</w:t>
      </w:r>
    </w:p>
    <w:p w:rsidR="00000000" w:rsidRPr="00DE69B8" w:rsidP="00DE69B8">
      <w:pPr>
        <w:pStyle w:val="ListBullet3"/>
      </w:pPr>
      <w:r w:rsidRPr="00DE69B8">
        <w:t xml:space="preserve">functionality and tolerances </w:t>
      </w:r>
    </w:p>
    <w:p w:rsidR="00000000" w:rsidRPr="00DE69B8" w:rsidP="00DE69B8">
      <w:pPr>
        <w:pStyle w:val="ListBullet3"/>
      </w:pPr>
      <w:r w:rsidRPr="00DE69B8">
        <w:t>conformity to specifications</w:t>
      </w:r>
    </w:p>
    <w:p w:rsidR="00000000" w:rsidRPr="00DE69B8" w:rsidP="00DE69B8">
      <w:pPr>
        <w:pStyle w:val="ListBullet2"/>
      </w:pPr>
      <w:r w:rsidRPr="00DE69B8">
        <w:t>reporting of machinery faults and material defects</w:t>
      </w:r>
    </w:p>
    <w:p w:rsidR="00000000" w:rsidRPr="00DE69B8" w:rsidP="00DE69B8">
      <w:pPr>
        <w:pStyle w:val="ListBullet"/>
      </w:pPr>
      <w:r w:rsidRPr="00DE69B8">
        <w:t>how to interpret production drawings</w:t>
      </w:r>
    </w:p>
    <w:p w:rsidR="00000000" w:rsidRPr="00DE69B8" w:rsidP="00DE69B8">
      <w:pPr>
        <w:pStyle w:val="ListBullet"/>
      </w:pPr>
      <w:r w:rsidRPr="00DE69B8">
        <w:t xml:space="preserve">components of common furnishing products, including: </w:t>
      </w:r>
    </w:p>
    <w:p w:rsidR="00000000" w:rsidRPr="00DE69B8" w:rsidP="00DE69B8">
      <w:pPr>
        <w:pStyle w:val="ListBullet2"/>
      </w:pPr>
      <w:r w:rsidRPr="00DE69B8">
        <w:t>cabinets</w:t>
      </w:r>
    </w:p>
    <w:p w:rsidR="00000000" w:rsidRPr="00DE69B8" w:rsidP="00DE69B8">
      <w:pPr>
        <w:pStyle w:val="ListBullet2"/>
      </w:pPr>
      <w:r w:rsidRPr="00DE69B8">
        <w:t>tables</w:t>
      </w:r>
    </w:p>
    <w:p w:rsidR="00000000" w:rsidRPr="00DE69B8" w:rsidP="00DE69B8">
      <w:pPr>
        <w:pStyle w:val="ListBullet2"/>
      </w:pPr>
      <w:r w:rsidRPr="00DE69B8">
        <w:t>doors</w:t>
      </w:r>
    </w:p>
    <w:p w:rsidR="00000000" w:rsidRPr="00DE69B8" w:rsidP="00DE69B8">
      <w:pPr>
        <w:pStyle w:val="ListBullet2"/>
      </w:pPr>
      <w:r w:rsidRPr="00DE69B8">
        <w:t>drawers</w:t>
      </w:r>
    </w:p>
    <w:p w:rsidR="00000000" w:rsidRPr="00DE69B8" w:rsidP="00DE69B8">
      <w:pPr>
        <w:pStyle w:val="ListBullet2"/>
      </w:pPr>
      <w:r w:rsidRPr="00DE69B8">
        <w:t>frames</w:t>
      </w:r>
    </w:p>
    <w:p w:rsidR="00000000" w:rsidRPr="00DE69B8" w:rsidP="00DE69B8">
      <w:pPr>
        <w:pStyle w:val="ListBullet2"/>
      </w:pPr>
      <w:r w:rsidRPr="00DE69B8">
        <w:t>shelves</w:t>
      </w:r>
    </w:p>
    <w:p w:rsidR="00000000" w:rsidRPr="00DE69B8" w:rsidP="00DE69B8">
      <w:pPr>
        <w:pStyle w:val="ListBullet"/>
      </w:pPr>
      <w:r w:rsidRPr="00DE69B8">
        <w:t>how characteristics of timber and manufactured board affect the assembly process</w:t>
      </w:r>
    </w:p>
    <w:p w:rsidR="00000000" w:rsidRPr="00DE69B8" w:rsidP="00DE69B8">
      <w:pPr>
        <w:pStyle w:val="ListBullet"/>
      </w:pPr>
      <w:r w:rsidRPr="00DE69B8">
        <w:t xml:space="preserve">tools, materials and equipment, including personal protective equipment (PPE), commonly used to assemble furniture and cabinets </w:t>
      </w:r>
    </w:p>
    <w:p w:rsidR="00000000" w:rsidRPr="00DE69B8" w:rsidP="00DE69B8">
      <w:pPr>
        <w:pStyle w:val="ListBullet"/>
      </w:pPr>
      <w:r w:rsidRPr="00DE69B8">
        <w:t xml:space="preserve">types and characteristics of hardware used in </w:t>
      </w:r>
      <w:r w:rsidRPr="00DE69B8">
        <w:t>furniture and cabinets</w:t>
      </w:r>
    </w:p>
    <w:p w:rsidR="00000000" w:rsidRPr="00DE69B8" w:rsidP="00DE69B8">
      <w:pPr>
        <w:pStyle w:val="ListBullet"/>
      </w:pPr>
      <w:r w:rsidRPr="00DE69B8">
        <w:t>storage considerations for assembled items:</w:t>
      </w:r>
    </w:p>
    <w:p w:rsidR="00000000" w:rsidRPr="00DE69B8" w:rsidP="00DE69B8">
      <w:pPr>
        <w:pStyle w:val="ListBullet2"/>
      </w:pPr>
      <w:r w:rsidRPr="00DE69B8">
        <w:t>avoidance of damage</w:t>
      </w:r>
    </w:p>
    <w:p w:rsidR="00000000" w:rsidRPr="00DE69B8" w:rsidP="00DE69B8">
      <w:pPr>
        <w:pStyle w:val="ListBullet2"/>
      </w:pPr>
      <w:r w:rsidRPr="00DE69B8">
        <w:t>compatibility of items for storage</w:t>
      </w:r>
    </w:p>
    <w:p w:rsidR="00000000" w:rsidRPr="00DE69B8" w:rsidP="00DE69B8">
      <w:pPr>
        <w:pStyle w:val="ListBullet2"/>
      </w:pPr>
      <w:r w:rsidRPr="00DE69B8">
        <w:t>environmental conditions.</w:t>
      </w:r>
    </w:p>
    <w:p w:rsidR="00000000" w:rsidRPr="00DE69B8" w:rsidP="00DE69B8">
      <w:pPr>
        <w:pStyle w:val="AllowPageBreak"/>
      </w:pPr>
    </w:p>
    <w:p w:rsidR="00000000" w:rsidRPr="00DE69B8" w:rsidP="00DE69B8">
      <w:pPr>
        <w:pStyle w:val="Heading1"/>
      </w:pPr>
      <w:bookmarkStart w:id="4" w:name="O_1248029"/>
      <w:bookmarkEnd w:id="4"/>
      <w:r w:rsidRPr="00DE69B8">
        <w:t>Assessment Conditions</w:t>
      </w:r>
    </w:p>
    <w:p w:rsidR="00000000" w:rsidRPr="00DE69B8" w:rsidP="007C7562">
      <w:pPr>
        <w:pStyle w:val="BodyText"/>
      </w:pPr>
      <w:r w:rsidRPr="00DE69B8">
        <w:t>Skills must have been demonstrated in the workplace or in a simulated environment that reflects workplace conditions and contingencies. The following conditions must be met for this unit:</w:t>
      </w:r>
    </w:p>
    <w:p w:rsidR="00000000" w:rsidRPr="00DE69B8" w:rsidP="00DE69B8">
      <w:pPr>
        <w:pStyle w:val="ListBullet"/>
      </w:pPr>
      <w:r w:rsidRPr="00DE69B8">
        <w:t>use of suitable facilities, equipment and resources, including:</w:t>
      </w:r>
    </w:p>
    <w:p w:rsidR="00000000" w:rsidRPr="00DE69B8" w:rsidP="00DE69B8">
      <w:pPr>
        <w:pStyle w:val="ListBullet2"/>
      </w:pPr>
      <w:r w:rsidRPr="00DE69B8">
        <w:t>fu</w:t>
      </w:r>
      <w:r w:rsidRPr="00DE69B8">
        <w:t>rniture products or component parts for assembly</w:t>
      </w:r>
    </w:p>
    <w:p w:rsidR="00000000" w:rsidRPr="00DE69B8" w:rsidP="00DE69B8">
      <w:pPr>
        <w:pStyle w:val="ListBullet2"/>
      </w:pPr>
      <w:r w:rsidRPr="00DE69B8">
        <w:t>tools, equipment and materials required for performance evidence</w:t>
      </w:r>
    </w:p>
    <w:p w:rsidR="00000000" w:rsidRPr="00DE69B8" w:rsidP="00DE69B8">
      <w:pPr>
        <w:pStyle w:val="ListBullet2"/>
      </w:pPr>
      <w:r w:rsidRPr="00DE69B8">
        <w:t>PPE</w:t>
      </w:r>
    </w:p>
    <w:p w:rsidR="00000000" w:rsidRPr="00DE69B8" w:rsidP="00DE69B8">
      <w:pPr>
        <w:pStyle w:val="ListBullet2"/>
      </w:pPr>
      <w:r w:rsidRPr="00DE69B8">
        <w:t>workplace procedures.</w:t>
      </w:r>
    </w:p>
    <w:p w:rsidR="00000000" w:rsidRPr="00DE69B8" w:rsidP="007C7562">
      <w:pPr>
        <w:pStyle w:val="BodyText"/>
      </w:pPr>
      <w:r w:rsidRPr="00DE69B8">
        <w:t>Assessors must satisfy the NVR/AQTF mandatory competency requirements for assessors.</w:t>
      </w:r>
    </w:p>
    <w:p w:rsidR="00000000" w:rsidRPr="00DE69B8" w:rsidP="00DE69B8">
      <w:pPr>
        <w:pStyle w:val="Heading1"/>
      </w:pPr>
      <w:bookmarkStart w:id="5" w:name="O_1248032"/>
      <w:bookmarkEnd w:id="5"/>
      <w:r w:rsidRPr="00DE69B8">
        <w:t>Links</w:t>
      </w:r>
    </w:p>
    <w:p w:rsidR="00000000" w:rsidRPr="00DE69B8" w:rsidP="007C7562">
      <w:pPr>
        <w:pStyle w:val="BodyText"/>
      </w:pPr>
      <w:r w:rsidRPr="00DE69B8">
        <w:t>Compan</w:t>
      </w:r>
      <w:r w:rsidRPr="00DE69B8">
        <w:t xml:space="preserve">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5758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E69B8" w:rsidP="00DE69B8"/>
    <w:sectPr w:rsidSect="00DE6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B8" w:rsidRPr="007C7562" w:rsidP="007C7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62" w:rsidP="00DE6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562" w:rsidP="00DE6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7562" w:rsidP="00DE6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9B8" w:rsidRPr="007C7562" w:rsidP="007C7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62" w:rsidRPr="002D2AF8" w:rsidP="00DE6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MSFFM2019 Assemble furnishing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C7562" w:rsidP="00DE6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720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B4A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88F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9B8"/>
  </w:style>
  <w:style w:type="character" w:customStyle="1" w:styleId="Heading1Char">
    <w:name w:val="Heading 1 Char"/>
    <w:basedOn w:val="DefaultParagraphFont"/>
    <w:link w:val="Heading1"/>
    <w:rsid w:val="00DE6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9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9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69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69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6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9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9B8"/>
    <w:rPr>
      <w:b/>
      <w:spacing w:val="0"/>
    </w:rPr>
  </w:style>
  <w:style w:type="paragraph" w:customStyle="1" w:styleId="SuperTitle">
    <w:name w:val="SuperTitle"/>
    <w:basedOn w:val="Title"/>
    <w:rsid w:val="00DE6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9B8"/>
    <w:rPr>
      <w:i/>
    </w:rPr>
  </w:style>
  <w:style w:type="paragraph" w:styleId="Caption">
    <w:name w:val="caption"/>
    <w:basedOn w:val="BodyText"/>
    <w:next w:val="Normal"/>
    <w:qFormat/>
    <w:rsid w:val="00DE6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9B8"/>
  </w:style>
  <w:style w:type="paragraph" w:styleId="TableofFigures">
    <w:name w:val="table of figures"/>
    <w:basedOn w:val="Normal"/>
    <w:next w:val="Normal"/>
    <w:semiHidden/>
    <w:rsid w:val="00DE6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9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69B8"/>
    <w:rPr>
      <w:rFonts w:ascii="Wingdings" w:hAnsi="Wingdings"/>
    </w:rPr>
  </w:style>
  <w:style w:type="paragraph" w:customStyle="1" w:styleId="TableHeading">
    <w:name w:val="Table Heading"/>
    <w:basedOn w:val="HeadingBase"/>
    <w:rsid w:val="00DE6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9B8"/>
    <w:rPr>
      <w:color w:val="0033CC"/>
      <w:u w:val="none"/>
    </w:rPr>
  </w:style>
  <w:style w:type="paragraph" w:customStyle="1" w:styleId="BodyTextRight">
    <w:name w:val="Body Text Right"/>
    <w:basedOn w:val="BodyText"/>
    <w:rsid w:val="00DE6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9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9B8"/>
    <w:rPr>
      <w:sz w:val="32"/>
    </w:rPr>
  </w:style>
  <w:style w:type="paragraph" w:customStyle="1" w:styleId="HeadingProcedure">
    <w:name w:val="Heading Procedure"/>
    <w:basedOn w:val="HeadingBase"/>
    <w:next w:val="Normal"/>
    <w:rsid w:val="00DE6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9B8"/>
    <w:pPr>
      <w:spacing w:before="60" w:after="60"/>
    </w:pPr>
  </w:style>
  <w:style w:type="paragraph" w:styleId="ListContinue">
    <w:name w:val="List Continue"/>
    <w:basedOn w:val="List"/>
    <w:rsid w:val="00DE69B8"/>
    <w:pPr>
      <w:ind w:firstLine="0"/>
    </w:pPr>
  </w:style>
  <w:style w:type="paragraph" w:customStyle="1" w:styleId="ListNote">
    <w:name w:val="List Note"/>
    <w:basedOn w:val="List"/>
    <w:rsid w:val="00DE6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9B8"/>
    <w:rPr>
      <w:rFonts w:ascii="Courier New" w:hAnsi="Courier New"/>
    </w:rPr>
  </w:style>
  <w:style w:type="paragraph" w:customStyle="1" w:styleId="NoteBullet">
    <w:name w:val="Note Bullet"/>
    <w:basedOn w:val="Note"/>
    <w:rsid w:val="00DE6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9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6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9B8"/>
    <w:rPr>
      <w:b/>
      <w:smallCaps/>
    </w:rPr>
  </w:style>
  <w:style w:type="paragraph" w:customStyle="1" w:styleId="TableListNumber">
    <w:name w:val="Table List Number"/>
    <w:basedOn w:val="ListNumber"/>
    <w:rsid w:val="00DE6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9B8"/>
    <w:pPr>
      <w:numPr>
        <w:numId w:val="10"/>
      </w:numPr>
    </w:pPr>
  </w:style>
  <w:style w:type="paragraph" w:customStyle="1" w:styleId="ListAlpha2">
    <w:name w:val="List Alpha 2"/>
    <w:basedOn w:val="List2"/>
    <w:rsid w:val="00DE69B8"/>
    <w:pPr>
      <w:numPr>
        <w:numId w:val="9"/>
      </w:numPr>
    </w:pPr>
  </w:style>
  <w:style w:type="paragraph" w:styleId="List2">
    <w:name w:val="List 2"/>
    <w:basedOn w:val="BodyText"/>
    <w:rsid w:val="00DE6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9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69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69B8"/>
    <w:pPr>
      <w:numPr>
        <w:numId w:val="5"/>
      </w:numPr>
    </w:pPr>
  </w:style>
  <w:style w:type="paragraph" w:styleId="ListContinue2">
    <w:name w:val="List Continue 2"/>
    <w:basedOn w:val="List2"/>
    <w:rsid w:val="00DE69B8"/>
    <w:pPr>
      <w:ind w:firstLine="0"/>
    </w:pPr>
  </w:style>
  <w:style w:type="paragraph" w:styleId="ListContinue3">
    <w:name w:val="List Continue 3"/>
    <w:basedOn w:val="List3"/>
    <w:rsid w:val="00DE69B8"/>
    <w:pPr>
      <w:ind w:left="1021" w:firstLine="0"/>
    </w:pPr>
  </w:style>
  <w:style w:type="paragraph" w:styleId="ListContinue4">
    <w:name w:val="List Continue 4"/>
    <w:basedOn w:val="List4"/>
    <w:rsid w:val="00DE69B8"/>
    <w:pPr>
      <w:ind w:firstLine="0"/>
    </w:pPr>
  </w:style>
  <w:style w:type="paragraph" w:styleId="ListContinue5">
    <w:name w:val="List Continue 5"/>
    <w:basedOn w:val="List5"/>
    <w:rsid w:val="00DE69B8"/>
    <w:pPr>
      <w:ind w:firstLine="0"/>
    </w:pPr>
  </w:style>
  <w:style w:type="paragraph" w:styleId="ListNumber3">
    <w:name w:val="List Number 3"/>
    <w:basedOn w:val="List3"/>
    <w:rsid w:val="00DE69B8"/>
    <w:pPr>
      <w:numPr>
        <w:numId w:val="6"/>
      </w:numPr>
    </w:pPr>
  </w:style>
  <w:style w:type="paragraph" w:styleId="ListNumber4">
    <w:name w:val="List Number 4"/>
    <w:basedOn w:val="List4"/>
    <w:rsid w:val="00DE69B8"/>
    <w:pPr>
      <w:numPr>
        <w:numId w:val="7"/>
      </w:numPr>
    </w:pPr>
  </w:style>
  <w:style w:type="paragraph" w:styleId="ListNumber5">
    <w:name w:val="List Number 5"/>
    <w:basedOn w:val="List5"/>
    <w:rsid w:val="00DE69B8"/>
    <w:pPr>
      <w:numPr>
        <w:numId w:val="8"/>
      </w:numPr>
    </w:pPr>
  </w:style>
  <w:style w:type="paragraph" w:styleId="BlockText">
    <w:name w:val="Block Text"/>
    <w:basedOn w:val="Normal"/>
    <w:rsid w:val="00DE6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9B8"/>
    <w:rPr>
      <w:sz w:val="16"/>
      <w:vertAlign w:val="superscript"/>
    </w:rPr>
  </w:style>
  <w:style w:type="character" w:customStyle="1" w:styleId="Symbols">
    <w:name w:val="Symbols"/>
    <w:basedOn w:val="DefaultParagraphFont"/>
    <w:rsid w:val="00DE69B8"/>
    <w:rPr>
      <w:rFonts w:ascii="Symbol" w:hAnsi="Symbol"/>
    </w:rPr>
  </w:style>
  <w:style w:type="character" w:customStyle="1" w:styleId="MenuOptions">
    <w:name w:val="Menu Options"/>
    <w:basedOn w:val="DefaultParagraphFont"/>
    <w:rsid w:val="00DE6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9B8"/>
    <w:rPr>
      <w:b/>
    </w:rPr>
  </w:style>
  <w:style w:type="character" w:customStyle="1" w:styleId="Underlined">
    <w:name w:val="Underlined"/>
    <w:basedOn w:val="DefaultParagraphFont"/>
    <w:rsid w:val="00DE69B8"/>
    <w:rPr>
      <w:u w:val="single"/>
    </w:rPr>
  </w:style>
  <w:style w:type="paragraph" w:customStyle="1" w:styleId="TableBodyTextRight">
    <w:name w:val="Table Body Text Right"/>
    <w:basedOn w:val="TableBodyText"/>
    <w:rsid w:val="00DE6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9B8"/>
    <w:rPr>
      <w:sz w:val="18"/>
    </w:rPr>
  </w:style>
  <w:style w:type="paragraph" w:customStyle="1" w:styleId="BodySmallRight">
    <w:name w:val="Body Small Right"/>
    <w:basedOn w:val="BodyTextRight"/>
    <w:rsid w:val="00DE69B8"/>
    <w:rPr>
      <w:sz w:val="18"/>
      <w:szCs w:val="18"/>
    </w:rPr>
  </w:style>
  <w:style w:type="paragraph" w:customStyle="1" w:styleId="MarginEdition">
    <w:name w:val="Margin Edition"/>
    <w:basedOn w:val="MarginNote"/>
    <w:rsid w:val="00DE6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9B8"/>
    <w:rPr>
      <w:sz w:val="2"/>
      <w:szCs w:val="2"/>
    </w:rPr>
  </w:style>
  <w:style w:type="character" w:customStyle="1" w:styleId="Small">
    <w:name w:val="Small"/>
    <w:basedOn w:val="DefaultParagraphFont"/>
    <w:rsid w:val="00DE69B8"/>
    <w:rPr>
      <w:sz w:val="16"/>
    </w:rPr>
  </w:style>
  <w:style w:type="paragraph" w:customStyle="1" w:styleId="WideTable">
    <w:name w:val="Wide Table"/>
    <w:basedOn w:val="Normal"/>
    <w:rsid w:val="00DE6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9B8"/>
  </w:style>
  <w:style w:type="paragraph" w:styleId="Quote">
    <w:name w:val="Quote"/>
    <w:basedOn w:val="Heading1"/>
    <w:link w:val="QuoteChar"/>
    <w:qFormat/>
    <w:rsid w:val="00DE6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9B8"/>
    <w:pPr>
      <w:pageBreakBefore/>
    </w:pPr>
  </w:style>
  <w:style w:type="paragraph" w:customStyle="1" w:styleId="Border">
    <w:name w:val="Border"/>
    <w:basedOn w:val="Normal"/>
    <w:qFormat/>
    <w:rsid w:val="00DE6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9B8"/>
    <w:rPr>
      <w:u w:val="single"/>
    </w:rPr>
  </w:style>
  <w:style w:type="character" w:customStyle="1" w:styleId="BoldandItalics">
    <w:name w:val="Bold and Italics"/>
    <w:qFormat/>
    <w:rsid w:val="00DE69B8"/>
    <w:rPr>
      <w:b/>
      <w:i/>
      <w:u w:val="none"/>
    </w:rPr>
  </w:style>
  <w:style w:type="paragraph" w:styleId="BalloonText">
    <w:name w:val="Balloon Text"/>
    <w:basedOn w:val="Normal"/>
    <w:link w:val="BalloonTextChar"/>
    <w:rsid w:val="00DE6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9B8"/>
    <w:pPr>
      <w:spacing w:before="0" w:after="0"/>
    </w:pPr>
  </w:style>
  <w:style w:type="paragraph" w:customStyle="1" w:styleId="BodyTextBold">
    <w:name w:val="Body Text Bold"/>
    <w:basedOn w:val="BodyText"/>
    <w:qFormat/>
    <w:rsid w:val="00DE69B8"/>
    <w:rPr>
      <w:b/>
    </w:rPr>
  </w:style>
  <w:style w:type="character" w:styleId="Hyperlink">
    <w:name w:val="Hyperlink"/>
    <w:basedOn w:val="DefaultParagraphFont"/>
    <w:uiPriority w:val="99"/>
    <w:unhideWhenUsed/>
    <w:rsid w:val="007C7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2227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MSFFM2019 Assemble furnishing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