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A10" w:rsidP="00141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MSFFM2016 Join solid timber</w:t>
      </w:r>
      <w:r>
        <w:fldChar w:fldCharType="end"/>
      </w:r>
    </w:p>
    <w:p w:rsidR="00141A10" w:rsidP="00141A10">
      <w:pPr>
        <w:pStyle w:val="Version"/>
        <w:sectPr w:rsidSect="00A50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A89" w:rsidP="00A50A89">
      <w:pPr>
        <w:pStyle w:val="SuperHeading"/>
      </w:pPr>
      <w:r w:rsidRPr="00A50A89">
        <w:t>Assessment Requirements for MSFFM2016 Join solid timber</w:t>
      </w:r>
    </w:p>
    <w:p w:rsidR="00000000" w:rsidRPr="00A50A89" w:rsidP="00A50A89">
      <w:pPr>
        <w:pStyle w:val="Heading1"/>
      </w:pPr>
      <w:bookmarkStart w:id="1" w:name="O_1247969"/>
      <w:bookmarkEnd w:id="1"/>
      <w:r w:rsidRPr="00A50A89">
        <w:t>Modification History</w:t>
      </w:r>
    </w:p>
    <w:p w:rsidR="00141A10" w:rsidP="00141A10">
      <w:pPr>
        <w:pStyle w:val="BodyText"/>
      </w:pPr>
      <w:r w:rsidRPr="00A50A89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A50A89" w:rsidP="00A50A89">
      <w:pPr>
        <w:pStyle w:val="Heading1"/>
      </w:pPr>
      <w:bookmarkStart w:id="2" w:name="O_1247970"/>
      <w:bookmarkEnd w:id="2"/>
      <w:r w:rsidRPr="00A50A89">
        <w:t>Performance</w:t>
      </w:r>
      <w:r w:rsidRPr="00A50A89">
        <w:t xml:space="preserve"> Evidence</w:t>
      </w:r>
    </w:p>
    <w:p w:rsidR="00000000" w:rsidRPr="00A50A89" w:rsidP="00141A10">
      <w:pPr>
        <w:pStyle w:val="BodyText"/>
      </w:pPr>
      <w:r w:rsidRPr="00A50A89">
        <w:t>There must be evidence the candidate has completed the tasks outlined in the elements and performance criteria of this unit, and demonstrated the ability to:</w:t>
      </w:r>
    </w:p>
    <w:p w:rsidR="00000000" w:rsidRPr="00A50A89" w:rsidP="00A50A89">
      <w:pPr>
        <w:pStyle w:val="ListBullet"/>
      </w:pPr>
      <w:r w:rsidRPr="00A50A89">
        <w:t>join at least 4 solid timber tops, shelves or panels, each with a minimum of 3 sections</w:t>
      </w:r>
      <w:r w:rsidRPr="00A50A89">
        <w:t xml:space="preserve"> </w:t>
      </w:r>
    </w:p>
    <w:p w:rsidR="00000000" w:rsidRPr="00A50A89" w:rsidP="00A50A89">
      <w:pPr>
        <w:pStyle w:val="ListBullet"/>
      </w:pPr>
      <w:r w:rsidRPr="00A50A89">
        <w:t>use each of the following edge joining methods at least once to achieve workplace quality standards:</w:t>
      </w:r>
    </w:p>
    <w:p w:rsidR="00000000" w:rsidRPr="00A50A89" w:rsidP="00A50A89">
      <w:pPr>
        <w:pStyle w:val="ListBullet2"/>
      </w:pPr>
      <w:r w:rsidRPr="00A50A89">
        <w:t>butt and dowel</w:t>
      </w:r>
    </w:p>
    <w:p w:rsidR="00000000" w:rsidRPr="00A50A89" w:rsidP="00A50A89">
      <w:pPr>
        <w:pStyle w:val="ListBullet2"/>
      </w:pPr>
      <w:r w:rsidRPr="00A50A89">
        <w:t>moulded edge joint (finger-joint, tongue in groove, or zigzag)</w:t>
      </w:r>
    </w:p>
    <w:p w:rsidR="00000000" w:rsidRPr="00A50A89" w:rsidP="00A50A89">
      <w:pPr>
        <w:pStyle w:val="ListBullet2"/>
      </w:pPr>
      <w:r w:rsidRPr="00A50A89">
        <w:t>biscuit joint or domino</w:t>
      </w:r>
    </w:p>
    <w:p w:rsidR="00141A10" w:rsidP="00A50A89">
      <w:pPr>
        <w:pStyle w:val="ListBullet2"/>
      </w:pPr>
      <w:r w:rsidRPr="00A50A89">
        <w:t>slip-tongue (aka tongue-in-groove) joint.</w:t>
      </w:r>
    </w:p>
    <w:p w:rsidR="00141A10" w:rsidP="00A50A89">
      <w:pPr>
        <w:pStyle w:val="ListBullet2"/>
      </w:pPr>
    </w:p>
    <w:p w:rsidR="00000000" w:rsidRPr="00A50A89" w:rsidP="00A50A89">
      <w:pPr>
        <w:pStyle w:val="Heading1"/>
      </w:pPr>
      <w:bookmarkStart w:id="3" w:name="O_1247971"/>
      <w:bookmarkEnd w:id="3"/>
      <w:r w:rsidRPr="00A50A89">
        <w:t>Knowledge Evidence</w:t>
      </w:r>
    </w:p>
    <w:p w:rsidR="00000000" w:rsidRPr="00A50A89" w:rsidP="00141A10">
      <w:pPr>
        <w:pStyle w:val="BodyText"/>
      </w:pPr>
      <w:r w:rsidRPr="00A50A89">
        <w:t>There must be evidence the candidate has knowledge of:</w:t>
      </w:r>
    </w:p>
    <w:p w:rsidR="00000000" w:rsidRPr="00A50A89" w:rsidP="00A50A89">
      <w:pPr>
        <w:pStyle w:val="ListBullet"/>
      </w:pPr>
      <w:r w:rsidRPr="00A50A89">
        <w:t>workplace procedures for:</w:t>
      </w:r>
    </w:p>
    <w:p w:rsidR="00000000" w:rsidRPr="00A50A89" w:rsidP="00A50A89">
      <w:pPr>
        <w:pStyle w:val="ListBullet2"/>
      </w:pPr>
      <w:r w:rsidRPr="00A50A89">
        <w:t>work health and safety</w:t>
      </w:r>
    </w:p>
    <w:p w:rsidR="00000000" w:rsidRPr="00A50A89" w:rsidP="00A50A89">
      <w:pPr>
        <w:pStyle w:val="ListBullet2"/>
      </w:pPr>
      <w:r w:rsidRPr="00A50A89">
        <w:t xml:space="preserve">quality assurance </w:t>
      </w:r>
    </w:p>
    <w:p w:rsidR="00000000" w:rsidRPr="00A50A89" w:rsidP="00A50A89">
      <w:pPr>
        <w:pStyle w:val="ListBullet2"/>
      </w:pPr>
      <w:r w:rsidRPr="00A50A89">
        <w:t>reporting of machinery faults and material defects</w:t>
      </w:r>
    </w:p>
    <w:p w:rsidR="00000000" w:rsidRPr="00A50A89" w:rsidP="00A50A89">
      <w:pPr>
        <w:pStyle w:val="ListBullet"/>
      </w:pPr>
      <w:r w:rsidRPr="00A50A89">
        <w:t>the following wood characteristics and def</w:t>
      </w:r>
      <w:r w:rsidRPr="00A50A89">
        <w:t>ects:</w:t>
      </w:r>
    </w:p>
    <w:p w:rsidR="00000000" w:rsidRPr="00A50A89" w:rsidP="00A50A89">
      <w:pPr>
        <w:pStyle w:val="ListBullet2"/>
      </w:pPr>
      <w:r w:rsidRPr="00A50A89">
        <w:t>bowing</w:t>
      </w:r>
    </w:p>
    <w:p w:rsidR="00000000" w:rsidRPr="00A50A89" w:rsidP="00A50A89">
      <w:pPr>
        <w:pStyle w:val="ListBullet2"/>
      </w:pPr>
      <w:r w:rsidRPr="00A50A89">
        <w:t>cupping</w:t>
      </w:r>
    </w:p>
    <w:p w:rsidR="00000000" w:rsidRPr="00A50A89" w:rsidP="00A50A89">
      <w:pPr>
        <w:pStyle w:val="ListBullet2"/>
      </w:pPr>
      <w:r w:rsidRPr="00A50A89">
        <w:t>expansion</w:t>
      </w:r>
    </w:p>
    <w:p w:rsidR="00000000" w:rsidRPr="00A50A89" w:rsidP="00A50A89">
      <w:pPr>
        <w:pStyle w:val="ListBullet2"/>
      </w:pPr>
      <w:r w:rsidRPr="00A50A89">
        <w:t>grain direction</w:t>
      </w:r>
    </w:p>
    <w:p w:rsidR="00000000" w:rsidRPr="00A50A89" w:rsidP="00A50A89">
      <w:pPr>
        <w:pStyle w:val="ListBullet2"/>
      </w:pPr>
      <w:r w:rsidRPr="00A50A89">
        <w:t xml:space="preserve">spring </w:t>
      </w:r>
    </w:p>
    <w:p w:rsidR="00000000" w:rsidRPr="00A50A89" w:rsidP="00A50A89">
      <w:pPr>
        <w:pStyle w:val="ListBullet2"/>
      </w:pPr>
      <w:r w:rsidRPr="00A50A89">
        <w:t>twisting</w:t>
      </w:r>
    </w:p>
    <w:p w:rsidR="00000000" w:rsidRPr="00A50A89" w:rsidP="00A50A89">
      <w:pPr>
        <w:pStyle w:val="ListBullet"/>
      </w:pPr>
      <w:r w:rsidRPr="00A50A89">
        <w:t>characteristics of different types of adhesives used to join solid timber and their application methods</w:t>
      </w:r>
    </w:p>
    <w:p w:rsidR="00000000" w:rsidRPr="00A50A89" w:rsidP="00A50A89">
      <w:pPr>
        <w:pStyle w:val="ListBullet"/>
      </w:pPr>
      <w:r w:rsidRPr="00A50A89">
        <w:t xml:space="preserve">types of sawing methods, including back sawn and quarter sawn, and the impact of these on joining </w:t>
      </w:r>
    </w:p>
    <w:p w:rsidR="00141A10" w:rsidP="00A50A89">
      <w:pPr>
        <w:pStyle w:val="ListBullet"/>
      </w:pPr>
      <w:r w:rsidRPr="00A50A89">
        <w:t>tools, materials, equipment, personal protective equipment (PPE) and processes used in timber joining.</w:t>
      </w:r>
    </w:p>
    <w:p w:rsidR="00141A10" w:rsidP="00A50A89">
      <w:pPr>
        <w:pStyle w:val="ListBullet"/>
      </w:pPr>
    </w:p>
    <w:p w:rsidR="00000000" w:rsidRPr="00A50A89" w:rsidP="00A50A89">
      <w:pPr>
        <w:pStyle w:val="Heading1"/>
      </w:pPr>
      <w:bookmarkStart w:id="4" w:name="O_1247972"/>
      <w:bookmarkEnd w:id="4"/>
      <w:r w:rsidRPr="00A50A89">
        <w:t>Assessment Conditions</w:t>
      </w:r>
    </w:p>
    <w:p w:rsidR="00000000" w:rsidRPr="00A50A89" w:rsidP="00141A10">
      <w:pPr>
        <w:pStyle w:val="BodyText"/>
      </w:pPr>
      <w:r w:rsidRPr="00A50A89">
        <w:t xml:space="preserve">Skills must </w:t>
      </w:r>
      <w:r w:rsidRPr="00A50A89">
        <w:t>have been demonstrated in the workplace or in a simulated environment that reflects workplace conditions and contingencies. The following conditions must be met for this unit:</w:t>
      </w:r>
    </w:p>
    <w:p w:rsidR="00000000" w:rsidRPr="00A50A89" w:rsidP="00A50A89">
      <w:pPr>
        <w:pStyle w:val="ListBullet"/>
      </w:pPr>
      <w:r w:rsidRPr="00A50A89">
        <w:t>use of suitable facilities, equipment and resources, including:</w:t>
      </w:r>
    </w:p>
    <w:p w:rsidR="00000000" w:rsidRPr="00A50A89" w:rsidP="00A50A89">
      <w:pPr>
        <w:pStyle w:val="ListBullet2"/>
      </w:pPr>
      <w:r w:rsidRPr="00A50A89">
        <w:t>work documenta</w:t>
      </w:r>
      <w:r w:rsidRPr="00A50A89">
        <w:t>tion</w:t>
      </w:r>
    </w:p>
    <w:p w:rsidR="00000000" w:rsidRPr="00A50A89" w:rsidP="00A50A89">
      <w:pPr>
        <w:pStyle w:val="ListBullet2"/>
      </w:pPr>
      <w:r w:rsidRPr="00A50A89">
        <w:t>tools, equipment and machinery required for performance evidence</w:t>
      </w:r>
    </w:p>
    <w:p w:rsidR="00000000" w:rsidRPr="00A50A89" w:rsidP="00A50A89">
      <w:pPr>
        <w:pStyle w:val="ListBullet2"/>
      </w:pPr>
      <w:r w:rsidRPr="00A50A89">
        <w:t>PPE</w:t>
      </w:r>
    </w:p>
    <w:p w:rsidR="00000000" w:rsidRPr="00A50A89" w:rsidP="00A50A89">
      <w:pPr>
        <w:pStyle w:val="ListBullet2"/>
      </w:pPr>
      <w:r w:rsidRPr="00A50A89">
        <w:t>timber materials for joining</w:t>
      </w:r>
    </w:p>
    <w:p w:rsidR="00141A10" w:rsidP="00A50A89">
      <w:pPr>
        <w:pStyle w:val="ListBullet2"/>
      </w:pPr>
      <w:r w:rsidRPr="00A50A89">
        <w:t>workplace procedures.</w:t>
      </w:r>
    </w:p>
    <w:p w:rsidR="00141A10" w:rsidP="00A50A89">
      <w:pPr>
        <w:pStyle w:val="ListBullet2"/>
      </w:pPr>
    </w:p>
    <w:p w:rsidR="00000000" w:rsidRPr="00A50A89" w:rsidP="00A50A89">
      <w:pPr>
        <w:pStyle w:val="Heading1"/>
      </w:pPr>
      <w:bookmarkStart w:id="5" w:name="O_1247975"/>
      <w:bookmarkEnd w:id="5"/>
      <w:r w:rsidRPr="00A50A89">
        <w:t>Links</w:t>
      </w:r>
    </w:p>
    <w:p w:rsidR="00000000" w:rsidRPr="00A50A89" w:rsidP="00141A10">
      <w:pPr>
        <w:pStyle w:val="BodyText"/>
      </w:pPr>
      <w:r w:rsidRPr="00A50A89">
        <w:t>Companion Volume implementation guides are found in VETNet –</w:t>
      </w:r>
      <w:r w:rsidRPr="00A50A89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72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50A89" w:rsidP="00A50A89"/>
    <w:sectPr w:rsidSect="00A50A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89" w:rsidRPr="00141A10" w:rsidP="00141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10" w:rsidP="00A50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1A10" w:rsidP="00A50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1A10" w:rsidP="00A50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A89" w:rsidRPr="00141A10" w:rsidP="00141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10" w:rsidRPr="002D2AF8" w:rsidP="00A50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MSFFM2016 Join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41A10" w:rsidP="00A50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2E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6C4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6E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A89"/>
  </w:style>
  <w:style w:type="character" w:customStyle="1" w:styleId="Heading1Char">
    <w:name w:val="Heading 1 Char"/>
    <w:basedOn w:val="DefaultParagraphFont"/>
    <w:link w:val="Heading1"/>
    <w:rsid w:val="00A50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A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A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A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A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A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A89"/>
    <w:rPr>
      <w:b/>
      <w:spacing w:val="0"/>
    </w:rPr>
  </w:style>
  <w:style w:type="paragraph" w:customStyle="1" w:styleId="SuperTitle">
    <w:name w:val="SuperTitle"/>
    <w:basedOn w:val="Title"/>
    <w:rsid w:val="00A50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A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A89"/>
    <w:rPr>
      <w:i/>
    </w:rPr>
  </w:style>
  <w:style w:type="paragraph" w:styleId="Caption">
    <w:name w:val="caption"/>
    <w:basedOn w:val="BodyText"/>
    <w:next w:val="Normal"/>
    <w:qFormat/>
    <w:rsid w:val="00A50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A89"/>
  </w:style>
  <w:style w:type="paragraph" w:styleId="TableofFigures">
    <w:name w:val="table of figures"/>
    <w:basedOn w:val="Normal"/>
    <w:next w:val="Normal"/>
    <w:semiHidden/>
    <w:rsid w:val="00A50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A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A89"/>
    <w:rPr>
      <w:rFonts w:ascii="Wingdings" w:hAnsi="Wingdings"/>
    </w:rPr>
  </w:style>
  <w:style w:type="paragraph" w:customStyle="1" w:styleId="TableHeading">
    <w:name w:val="Table Heading"/>
    <w:basedOn w:val="HeadingBase"/>
    <w:rsid w:val="00A50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A89"/>
    <w:rPr>
      <w:color w:val="0033CC"/>
      <w:u w:val="none"/>
    </w:rPr>
  </w:style>
  <w:style w:type="paragraph" w:customStyle="1" w:styleId="BodyTextRight">
    <w:name w:val="Body Text Right"/>
    <w:basedOn w:val="BodyText"/>
    <w:rsid w:val="00A50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A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A89"/>
    <w:rPr>
      <w:sz w:val="32"/>
    </w:rPr>
  </w:style>
  <w:style w:type="paragraph" w:customStyle="1" w:styleId="HeadingProcedure">
    <w:name w:val="Heading Procedure"/>
    <w:basedOn w:val="HeadingBase"/>
    <w:next w:val="Normal"/>
    <w:rsid w:val="00A50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A89"/>
    <w:pPr>
      <w:spacing w:before="60" w:after="60"/>
    </w:pPr>
  </w:style>
  <w:style w:type="paragraph" w:styleId="ListContinue">
    <w:name w:val="List Continue"/>
    <w:basedOn w:val="List"/>
    <w:rsid w:val="00A50A89"/>
    <w:pPr>
      <w:ind w:firstLine="0"/>
    </w:pPr>
  </w:style>
  <w:style w:type="paragraph" w:customStyle="1" w:styleId="ListNote">
    <w:name w:val="List Note"/>
    <w:basedOn w:val="List"/>
    <w:rsid w:val="00A50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A89"/>
    <w:rPr>
      <w:rFonts w:ascii="Courier New" w:hAnsi="Courier New"/>
    </w:rPr>
  </w:style>
  <w:style w:type="paragraph" w:customStyle="1" w:styleId="NoteBullet">
    <w:name w:val="Note Bullet"/>
    <w:basedOn w:val="Note"/>
    <w:rsid w:val="00A50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A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A89"/>
    <w:rPr>
      <w:b/>
      <w:smallCaps/>
    </w:rPr>
  </w:style>
  <w:style w:type="paragraph" w:customStyle="1" w:styleId="TableListNumber">
    <w:name w:val="Table List Number"/>
    <w:basedOn w:val="ListNumber"/>
    <w:rsid w:val="00A50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A89"/>
    <w:pPr>
      <w:numPr>
        <w:numId w:val="9"/>
      </w:numPr>
    </w:pPr>
  </w:style>
  <w:style w:type="paragraph" w:customStyle="1" w:styleId="ListAlpha2">
    <w:name w:val="List Alpha 2"/>
    <w:basedOn w:val="List2"/>
    <w:rsid w:val="00A50A89"/>
    <w:pPr>
      <w:numPr>
        <w:numId w:val="8"/>
      </w:numPr>
    </w:pPr>
  </w:style>
  <w:style w:type="paragraph" w:styleId="List2">
    <w:name w:val="List 2"/>
    <w:basedOn w:val="BodyText"/>
    <w:rsid w:val="00A50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A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A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A89"/>
    <w:pPr>
      <w:numPr>
        <w:numId w:val="4"/>
      </w:numPr>
    </w:pPr>
  </w:style>
  <w:style w:type="paragraph" w:styleId="ListContinue2">
    <w:name w:val="List Continue 2"/>
    <w:basedOn w:val="List2"/>
    <w:rsid w:val="00A50A89"/>
    <w:pPr>
      <w:ind w:firstLine="0"/>
    </w:pPr>
  </w:style>
  <w:style w:type="paragraph" w:styleId="ListContinue3">
    <w:name w:val="List Continue 3"/>
    <w:basedOn w:val="List3"/>
    <w:rsid w:val="00A50A89"/>
    <w:pPr>
      <w:ind w:left="1021" w:firstLine="0"/>
    </w:pPr>
  </w:style>
  <w:style w:type="paragraph" w:styleId="ListContinue4">
    <w:name w:val="List Continue 4"/>
    <w:basedOn w:val="List4"/>
    <w:rsid w:val="00A50A89"/>
    <w:pPr>
      <w:ind w:firstLine="0"/>
    </w:pPr>
  </w:style>
  <w:style w:type="paragraph" w:styleId="ListContinue5">
    <w:name w:val="List Continue 5"/>
    <w:basedOn w:val="List5"/>
    <w:rsid w:val="00A50A89"/>
    <w:pPr>
      <w:ind w:firstLine="0"/>
    </w:pPr>
  </w:style>
  <w:style w:type="paragraph" w:styleId="ListNumber3">
    <w:name w:val="List Number 3"/>
    <w:basedOn w:val="List3"/>
    <w:rsid w:val="00A50A89"/>
    <w:pPr>
      <w:numPr>
        <w:numId w:val="5"/>
      </w:numPr>
    </w:pPr>
  </w:style>
  <w:style w:type="paragraph" w:styleId="ListNumber4">
    <w:name w:val="List Number 4"/>
    <w:basedOn w:val="List4"/>
    <w:rsid w:val="00A50A89"/>
    <w:pPr>
      <w:numPr>
        <w:numId w:val="6"/>
      </w:numPr>
    </w:pPr>
  </w:style>
  <w:style w:type="paragraph" w:styleId="ListNumber5">
    <w:name w:val="List Number 5"/>
    <w:basedOn w:val="List5"/>
    <w:rsid w:val="00A50A89"/>
    <w:pPr>
      <w:numPr>
        <w:numId w:val="7"/>
      </w:numPr>
    </w:pPr>
  </w:style>
  <w:style w:type="paragraph" w:styleId="BlockText">
    <w:name w:val="Block Text"/>
    <w:basedOn w:val="Normal"/>
    <w:rsid w:val="00A50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A89"/>
    <w:rPr>
      <w:sz w:val="16"/>
      <w:vertAlign w:val="superscript"/>
    </w:rPr>
  </w:style>
  <w:style w:type="character" w:customStyle="1" w:styleId="Symbols">
    <w:name w:val="Symbols"/>
    <w:basedOn w:val="DefaultParagraphFont"/>
    <w:rsid w:val="00A50A89"/>
    <w:rPr>
      <w:rFonts w:ascii="Symbol" w:hAnsi="Symbol"/>
    </w:rPr>
  </w:style>
  <w:style w:type="character" w:customStyle="1" w:styleId="MenuOptions">
    <w:name w:val="Menu Options"/>
    <w:basedOn w:val="DefaultParagraphFont"/>
    <w:rsid w:val="00A50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A89"/>
    <w:rPr>
      <w:b/>
    </w:rPr>
  </w:style>
  <w:style w:type="character" w:customStyle="1" w:styleId="Underlined">
    <w:name w:val="Underlined"/>
    <w:basedOn w:val="DefaultParagraphFont"/>
    <w:rsid w:val="00A50A89"/>
    <w:rPr>
      <w:u w:val="single"/>
    </w:rPr>
  </w:style>
  <w:style w:type="paragraph" w:customStyle="1" w:styleId="TableBodyTextRight">
    <w:name w:val="Table Body Text Right"/>
    <w:basedOn w:val="TableBodyText"/>
    <w:rsid w:val="00A50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A89"/>
    <w:rPr>
      <w:sz w:val="18"/>
    </w:rPr>
  </w:style>
  <w:style w:type="paragraph" w:customStyle="1" w:styleId="BodySmallRight">
    <w:name w:val="Body Small Right"/>
    <w:basedOn w:val="BodyTextRight"/>
    <w:rsid w:val="00A50A89"/>
    <w:rPr>
      <w:sz w:val="18"/>
      <w:szCs w:val="18"/>
    </w:rPr>
  </w:style>
  <w:style w:type="paragraph" w:customStyle="1" w:styleId="MarginEdition">
    <w:name w:val="Margin Edition"/>
    <w:basedOn w:val="MarginNote"/>
    <w:rsid w:val="00A50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A89"/>
    <w:rPr>
      <w:sz w:val="2"/>
      <w:szCs w:val="2"/>
    </w:rPr>
  </w:style>
  <w:style w:type="character" w:customStyle="1" w:styleId="Small">
    <w:name w:val="Small"/>
    <w:basedOn w:val="DefaultParagraphFont"/>
    <w:rsid w:val="00A50A89"/>
    <w:rPr>
      <w:sz w:val="16"/>
    </w:rPr>
  </w:style>
  <w:style w:type="paragraph" w:customStyle="1" w:styleId="WideTable">
    <w:name w:val="Wide Table"/>
    <w:basedOn w:val="Normal"/>
    <w:rsid w:val="00A50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A89"/>
  </w:style>
  <w:style w:type="paragraph" w:styleId="Quote">
    <w:name w:val="Quote"/>
    <w:basedOn w:val="Heading1"/>
    <w:link w:val="QuoteChar"/>
    <w:qFormat/>
    <w:rsid w:val="00A50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A89"/>
    <w:pPr>
      <w:pageBreakBefore/>
    </w:pPr>
  </w:style>
  <w:style w:type="paragraph" w:customStyle="1" w:styleId="Border">
    <w:name w:val="Border"/>
    <w:basedOn w:val="Normal"/>
    <w:qFormat/>
    <w:rsid w:val="00A50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A89"/>
    <w:rPr>
      <w:u w:val="single"/>
    </w:rPr>
  </w:style>
  <w:style w:type="character" w:customStyle="1" w:styleId="BoldandItalics">
    <w:name w:val="Bold and Italics"/>
    <w:qFormat/>
    <w:rsid w:val="00A50A89"/>
    <w:rPr>
      <w:b/>
      <w:i/>
      <w:u w:val="none"/>
    </w:rPr>
  </w:style>
  <w:style w:type="paragraph" w:styleId="BalloonText">
    <w:name w:val="Balloon Text"/>
    <w:basedOn w:val="Normal"/>
    <w:link w:val="BalloonTextChar"/>
    <w:rsid w:val="00A50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A89"/>
    <w:pPr>
      <w:spacing w:before="0" w:after="0"/>
    </w:pPr>
  </w:style>
  <w:style w:type="paragraph" w:customStyle="1" w:styleId="BodyTextBold">
    <w:name w:val="Body Text Bold"/>
    <w:basedOn w:val="BodyText"/>
    <w:qFormat/>
    <w:rsid w:val="00A50A89"/>
    <w:rPr>
      <w:b/>
    </w:rPr>
  </w:style>
  <w:style w:type="character" w:styleId="Hyperlink">
    <w:name w:val="Hyperlink"/>
    <w:basedOn w:val="DefaultParagraphFont"/>
    <w:uiPriority w:val="99"/>
    <w:unhideWhenUsed/>
    <w:rsid w:val="00141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1899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MSFFM2016 Join solid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