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10D" w:rsidP="00AF5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MSFFL3100 Apply densifiers and sealers to concrete surfaces</w:t>
      </w:r>
      <w:r>
        <w:fldChar w:fldCharType="end"/>
      </w:r>
    </w:p>
    <w:p w:rsidR="00AF510D" w:rsidP="00AF510D">
      <w:pPr>
        <w:pStyle w:val="Version"/>
        <w:sectPr w:rsidSect="006E0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13B" w:rsidP="006E013B">
      <w:pPr>
        <w:pStyle w:val="SuperHeading"/>
      </w:pPr>
      <w:r w:rsidRPr="006E013B">
        <w:t>Assessment Requirements for MSFFL3100 Apply densifiers and sealers to concrete surfaces</w:t>
      </w:r>
    </w:p>
    <w:p w:rsidR="00000000" w:rsidRPr="006E013B" w:rsidP="006E013B">
      <w:pPr>
        <w:pStyle w:val="Heading1"/>
      </w:pPr>
      <w:bookmarkStart w:id="1" w:name="O_1014134"/>
      <w:bookmarkEnd w:id="1"/>
      <w:r w:rsidRPr="006E013B">
        <w:t>Modification History</w:t>
      </w:r>
    </w:p>
    <w:p w:rsidR="00AF510D" w:rsidP="00AF510D">
      <w:pPr>
        <w:pStyle w:val="BodyText"/>
      </w:pPr>
      <w:r w:rsidRPr="006E013B">
        <w:t>Release 1. Supersedes and is equivalent to MSFFL3049 Apply densifiers and sealers to concrete surfaces.</w:t>
      </w:r>
    </w:p>
    <w:p w:rsidR="00000000" w:rsidRPr="006E013B" w:rsidP="006E013B">
      <w:pPr>
        <w:pStyle w:val="Heading1"/>
      </w:pPr>
      <w:bookmarkStart w:id="2" w:name="O_1014137"/>
      <w:bookmarkEnd w:id="2"/>
      <w:r w:rsidRPr="006E013B">
        <w:t>Performance Evidence</w:t>
      </w:r>
    </w:p>
    <w:p w:rsidR="00000000" w:rsidRPr="006E013B" w:rsidP="00AF510D">
      <w:pPr>
        <w:pStyle w:val="BodyText"/>
      </w:pPr>
      <w:r w:rsidRPr="006E013B">
        <w:t xml:space="preserve">There must be evidence the candidate has completed the tasks outlined in the elements and performance criteria of this unit, and: </w:t>
      </w:r>
    </w:p>
    <w:p w:rsidR="00AF510D" w:rsidP="006E013B">
      <w:pPr>
        <w:pStyle w:val="ListBullet"/>
      </w:pPr>
      <w:r w:rsidRPr="006E013B">
        <w:t>applied densifying, sealing and grouting products to achieve the required finish in accordance with job</w:t>
      </w:r>
      <w:r w:rsidRPr="006E013B">
        <w:t xml:space="preserve"> requirements to both 1 new and 1 existing concrete surface.</w:t>
      </w:r>
    </w:p>
    <w:p w:rsidR="00AF510D" w:rsidP="006E013B">
      <w:pPr>
        <w:pStyle w:val="ListBullet"/>
      </w:pPr>
    </w:p>
    <w:p w:rsidR="00000000" w:rsidRPr="006E013B" w:rsidP="006E013B">
      <w:pPr>
        <w:pStyle w:val="Heading1"/>
      </w:pPr>
      <w:bookmarkStart w:id="3" w:name="O_1014136"/>
      <w:bookmarkEnd w:id="3"/>
      <w:r w:rsidRPr="006E013B">
        <w:t>Knowledge Evidence</w:t>
      </w:r>
    </w:p>
    <w:p w:rsidR="00000000" w:rsidRPr="006E013B" w:rsidP="00AF510D">
      <w:pPr>
        <w:pStyle w:val="Heading3"/>
      </w:pPr>
      <w:r w:rsidRPr="006E013B">
        <w:t>There must be evidence the candidate has knowledge of</w:t>
      </w:r>
    </w:p>
    <w:p w:rsidR="00000000" w:rsidRPr="006E013B" w:rsidP="006E013B">
      <w:pPr>
        <w:pStyle w:val="ListBullet"/>
      </w:pPr>
      <w:r w:rsidRPr="006E013B">
        <w:t xml:space="preserve">mathematical procedures for estimation and measurement, including calculation of area and estimation </w:t>
      </w:r>
      <w:r w:rsidRPr="006E013B">
        <w:t>of material requirements</w:t>
      </w:r>
    </w:p>
    <w:p w:rsidR="00000000" w:rsidRPr="006E013B" w:rsidP="006E013B">
      <w:pPr>
        <w:pStyle w:val="ListBullet"/>
      </w:pPr>
      <w:r w:rsidRPr="006E013B">
        <w:t>densifying and sealing of concrete:</w:t>
      </w:r>
    </w:p>
    <w:p w:rsidR="00000000" w:rsidRPr="006E013B" w:rsidP="006E013B">
      <w:pPr>
        <w:pStyle w:val="ListBullet2"/>
      </w:pPr>
      <w:r w:rsidRPr="006E013B">
        <w:t>Australian Standards requirements</w:t>
      </w:r>
    </w:p>
    <w:p w:rsidR="00000000" w:rsidRPr="006E013B" w:rsidP="006E013B">
      <w:pPr>
        <w:pStyle w:val="ListBullet2"/>
      </w:pPr>
      <w:r w:rsidRPr="006E013B">
        <w:t xml:space="preserve">workplace safety systems </w:t>
      </w:r>
    </w:p>
    <w:p w:rsidR="00000000" w:rsidRPr="006E013B" w:rsidP="006E013B">
      <w:pPr>
        <w:pStyle w:val="ListBullet2"/>
      </w:pPr>
      <w:r w:rsidRPr="006E013B">
        <w:t xml:space="preserve">environmental protection and sustainability requirements </w:t>
      </w:r>
    </w:p>
    <w:p w:rsidR="00000000" w:rsidRPr="006E013B" w:rsidP="006E013B">
      <w:pPr>
        <w:pStyle w:val="ListBullet2"/>
      </w:pPr>
      <w:r w:rsidRPr="006E013B">
        <w:t xml:space="preserve">work flow </w:t>
      </w:r>
    </w:p>
    <w:p w:rsidR="00000000" w:rsidRPr="006E013B" w:rsidP="006E013B">
      <w:pPr>
        <w:pStyle w:val="ListBullet2"/>
      </w:pPr>
      <w:r w:rsidRPr="006E013B">
        <w:t xml:space="preserve">types, characteristics, safe use, maintenance and limitations of preparation and application tools and equipment </w:t>
      </w:r>
    </w:p>
    <w:p w:rsidR="00000000" w:rsidRPr="006E013B" w:rsidP="006E013B">
      <w:pPr>
        <w:pStyle w:val="ListBullet2"/>
      </w:pPr>
      <w:r w:rsidRPr="006E013B">
        <w:t>methods of concrete floor preparation and requirements prior to application in relation to:</w:t>
      </w:r>
    </w:p>
    <w:p w:rsidR="00000000" w:rsidRPr="006E013B" w:rsidP="006E013B">
      <w:pPr>
        <w:pStyle w:val="ListBullet3"/>
      </w:pPr>
      <w:r w:rsidRPr="006E013B">
        <w:t>contaminants</w:t>
      </w:r>
    </w:p>
    <w:p w:rsidR="00000000" w:rsidRPr="006E013B" w:rsidP="006E013B">
      <w:pPr>
        <w:pStyle w:val="ListBullet3"/>
      </w:pPr>
      <w:r w:rsidRPr="006E013B">
        <w:t>debris</w:t>
      </w:r>
    </w:p>
    <w:p w:rsidR="00000000" w:rsidRPr="006E013B" w:rsidP="006E013B">
      <w:pPr>
        <w:pStyle w:val="ListBullet3"/>
      </w:pPr>
      <w:r w:rsidRPr="006E013B">
        <w:t>dust</w:t>
      </w:r>
    </w:p>
    <w:p w:rsidR="00000000" w:rsidRPr="006E013B" w:rsidP="006E013B">
      <w:pPr>
        <w:pStyle w:val="ListBullet3"/>
      </w:pPr>
      <w:r w:rsidRPr="006E013B">
        <w:t>moisture content level a</w:t>
      </w:r>
      <w:r w:rsidRPr="006E013B">
        <w:t>nd stability</w:t>
      </w:r>
    </w:p>
    <w:p w:rsidR="00000000" w:rsidRPr="006E013B" w:rsidP="006E013B">
      <w:pPr>
        <w:pStyle w:val="ListBullet2"/>
      </w:pPr>
      <w:r w:rsidRPr="006E013B">
        <w:t>characteristics of densifier and sealer products in relation to ventilation and reaction to change of temperature and relative humidity</w:t>
      </w:r>
    </w:p>
    <w:p w:rsidR="00000000" w:rsidRPr="006E013B" w:rsidP="006E013B">
      <w:pPr>
        <w:pStyle w:val="ListBullet2"/>
      </w:pPr>
      <w:r w:rsidRPr="006E013B">
        <w:t xml:space="preserve">type, characteristics, uses and limitation of materials, including manufacturer recommendations for: </w:t>
      </w:r>
    </w:p>
    <w:p w:rsidR="00000000" w:rsidRPr="006E013B" w:rsidP="006E013B">
      <w:pPr>
        <w:pStyle w:val="ListBullet3"/>
      </w:pPr>
      <w:r w:rsidRPr="006E013B">
        <w:t>rea</w:t>
      </w:r>
      <w:r w:rsidRPr="006E013B">
        <w:t>ctive concrete densifiers using colloidal silica to harden and densify new or older concrete surfaces</w:t>
      </w:r>
    </w:p>
    <w:p w:rsidR="00000000" w:rsidRPr="006E013B" w:rsidP="006E013B">
      <w:pPr>
        <w:pStyle w:val="ListBullet3"/>
      </w:pPr>
      <w:r w:rsidRPr="006E013B">
        <w:t>densifiers and sealers to protect concrete from stains, dust production and wear, and supports polishing</w:t>
      </w:r>
    </w:p>
    <w:p w:rsidR="00000000" w:rsidRPr="006E013B" w:rsidP="006E013B">
      <w:pPr>
        <w:pStyle w:val="ListBullet2"/>
      </w:pPr>
      <w:r w:rsidRPr="006E013B">
        <w:t>application methods and techniques, the types of</w:t>
      </w:r>
      <w:r w:rsidRPr="006E013B">
        <w:t xml:space="preserve"> problems that may occur and how to avoid and respond, including for:</w:t>
      </w:r>
    </w:p>
    <w:p w:rsidR="00000000" w:rsidRPr="006E013B" w:rsidP="006E013B">
      <w:pPr>
        <w:pStyle w:val="ListBullet3"/>
      </w:pPr>
      <w:r w:rsidRPr="006E013B">
        <w:t>pour and brush spreading</w:t>
      </w:r>
    </w:p>
    <w:p w:rsidR="00000000" w:rsidRPr="006E013B" w:rsidP="006E013B">
      <w:pPr>
        <w:pStyle w:val="ListBullet3"/>
      </w:pPr>
      <w:r w:rsidRPr="006E013B">
        <w:t>low-pressure, airless spraying</w:t>
      </w:r>
    </w:p>
    <w:p w:rsidR="00000000" w:rsidRPr="006E013B" w:rsidP="006E013B">
      <w:pPr>
        <w:pStyle w:val="ListBullet2"/>
      </w:pPr>
      <w:r w:rsidRPr="006E013B">
        <w:t>quality indicators for finished surfaces</w:t>
      </w:r>
    </w:p>
    <w:p w:rsidR="00AF510D" w:rsidP="006E013B">
      <w:pPr>
        <w:pStyle w:val="ListBullet"/>
      </w:pPr>
      <w:r w:rsidRPr="006E013B">
        <w:t>procedures and protocols for the recording, reporting and maintenance of workplace records and information.</w:t>
      </w:r>
    </w:p>
    <w:p w:rsidR="00AF510D" w:rsidP="006E013B">
      <w:pPr>
        <w:pStyle w:val="ListBullet"/>
      </w:pPr>
    </w:p>
    <w:p w:rsidR="00000000" w:rsidRPr="006E013B" w:rsidP="006E013B">
      <w:pPr>
        <w:pStyle w:val="Heading1"/>
      </w:pPr>
      <w:bookmarkStart w:id="4" w:name="O_1014135"/>
      <w:bookmarkEnd w:id="4"/>
      <w:r w:rsidRPr="006E013B">
        <w:t>Assessment Conditions</w:t>
      </w:r>
    </w:p>
    <w:p w:rsidR="00000000" w:rsidRPr="006E013B" w:rsidP="00AF510D">
      <w:pPr>
        <w:pStyle w:val="BodyText"/>
      </w:pPr>
      <w:r w:rsidRPr="006E013B">
        <w:t>Skills must have been demonstrated in the workplace or in a sim</w:t>
      </w:r>
      <w:r w:rsidRPr="006E013B">
        <w:t xml:space="preserve">ulated environment that reflects workplace conditions and contingencies. The following conditions must be met for this unit: </w:t>
      </w:r>
    </w:p>
    <w:p w:rsidR="00000000" w:rsidRPr="006E013B" w:rsidP="006E013B">
      <w:pPr>
        <w:pStyle w:val="ListBullet"/>
      </w:pPr>
      <w:r w:rsidRPr="006E013B">
        <w:t xml:space="preserve">use of suitable facilities, equipment and resources, including: </w:t>
      </w:r>
    </w:p>
    <w:p w:rsidR="00000000" w:rsidRPr="006E013B" w:rsidP="006E013B">
      <w:pPr>
        <w:pStyle w:val="ListBullet2"/>
      </w:pPr>
      <w:r w:rsidRPr="006E013B">
        <w:t xml:space="preserve">concrete surfaces to be finished </w:t>
      </w:r>
    </w:p>
    <w:p w:rsidR="00000000" w:rsidRPr="006E013B" w:rsidP="006E013B">
      <w:pPr>
        <w:pStyle w:val="ListBullet2"/>
      </w:pPr>
      <w:r w:rsidRPr="006E013B">
        <w:t>equipment, tools and material</w:t>
      </w:r>
      <w:r w:rsidRPr="006E013B">
        <w:t>s for application of products</w:t>
      </w:r>
    </w:p>
    <w:p w:rsidR="00000000" w:rsidRPr="006E013B" w:rsidP="006E013B">
      <w:pPr>
        <w:pStyle w:val="ListBullet2"/>
      </w:pPr>
      <w:r w:rsidRPr="006E013B">
        <w:t xml:space="preserve">work orders </w:t>
      </w:r>
    </w:p>
    <w:p w:rsidR="00000000" w:rsidRPr="006E013B" w:rsidP="006E013B">
      <w:pPr>
        <w:pStyle w:val="ListBullet2"/>
      </w:pPr>
      <w:r w:rsidRPr="006E013B">
        <w:t>workplace procedures.</w:t>
      </w:r>
    </w:p>
    <w:p w:rsidR="00AF510D" w:rsidP="00AF510D">
      <w:pPr>
        <w:pStyle w:val="BodyText"/>
      </w:pPr>
      <w:r w:rsidRPr="006E013B">
        <w:t>Assessors must satisfy the NVR/AQTF mandatory competency requirements for assessors.</w:t>
      </w:r>
    </w:p>
    <w:p w:rsidR="00000000" w:rsidRPr="006E013B" w:rsidP="006E013B">
      <w:pPr>
        <w:pStyle w:val="Heading1"/>
      </w:pPr>
      <w:bookmarkStart w:id="5" w:name="O_1014133"/>
      <w:bookmarkEnd w:id="5"/>
      <w:r w:rsidRPr="006E013B">
        <w:t>Links</w:t>
      </w:r>
    </w:p>
    <w:p w:rsidR="00000000" w:rsidRPr="006E013B" w:rsidP="00AF510D">
      <w:pPr>
        <w:pStyle w:val="BodyText"/>
      </w:pPr>
      <w:r w:rsidRPr="006E0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067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013B" w:rsidP="006E013B"/>
    <w:sectPr w:rsidSect="006E0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3B" w:rsidRPr="00AF510D" w:rsidP="00AF5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D" w:rsidP="006E0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10D" w:rsidP="006E0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510D" w:rsidP="006E0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13B" w:rsidRPr="00AF510D" w:rsidP="00AF5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D" w:rsidRPr="002D2AF8" w:rsidP="006E0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MSFFL3100 Apply densifiers and sealers to concrete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F510D" w:rsidP="006E0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8A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EC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FCB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13B"/>
  </w:style>
  <w:style w:type="character" w:customStyle="1" w:styleId="Heading1Char">
    <w:name w:val="Heading 1 Char"/>
    <w:basedOn w:val="DefaultParagraphFont"/>
    <w:link w:val="Heading1"/>
    <w:rsid w:val="006E0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1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1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01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0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13B"/>
    <w:rPr>
      <w:b/>
      <w:spacing w:val="0"/>
    </w:rPr>
  </w:style>
  <w:style w:type="paragraph" w:customStyle="1" w:styleId="SuperTitle">
    <w:name w:val="SuperTitle"/>
    <w:basedOn w:val="Title"/>
    <w:rsid w:val="006E0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13B"/>
    <w:rPr>
      <w:i/>
    </w:rPr>
  </w:style>
  <w:style w:type="paragraph" w:styleId="Caption">
    <w:name w:val="caption"/>
    <w:basedOn w:val="BodyText"/>
    <w:next w:val="Normal"/>
    <w:qFormat/>
    <w:rsid w:val="006E0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13B"/>
  </w:style>
  <w:style w:type="paragraph" w:styleId="TableofFigures">
    <w:name w:val="table of figures"/>
    <w:basedOn w:val="Normal"/>
    <w:next w:val="Normal"/>
    <w:semiHidden/>
    <w:rsid w:val="006E0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1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013B"/>
    <w:rPr>
      <w:rFonts w:ascii="Wingdings" w:hAnsi="Wingdings"/>
    </w:rPr>
  </w:style>
  <w:style w:type="paragraph" w:customStyle="1" w:styleId="TableHeading">
    <w:name w:val="Table Heading"/>
    <w:basedOn w:val="HeadingBase"/>
    <w:rsid w:val="006E0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13B"/>
    <w:rPr>
      <w:color w:val="0033CC"/>
      <w:u w:val="none"/>
    </w:rPr>
  </w:style>
  <w:style w:type="paragraph" w:customStyle="1" w:styleId="BodyTextRight">
    <w:name w:val="Body Text Right"/>
    <w:basedOn w:val="BodyText"/>
    <w:rsid w:val="006E0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1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13B"/>
    <w:rPr>
      <w:sz w:val="32"/>
    </w:rPr>
  </w:style>
  <w:style w:type="paragraph" w:customStyle="1" w:styleId="HeadingProcedure">
    <w:name w:val="Heading Procedure"/>
    <w:basedOn w:val="HeadingBase"/>
    <w:next w:val="Normal"/>
    <w:rsid w:val="006E0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13B"/>
    <w:pPr>
      <w:spacing w:before="60" w:after="60"/>
    </w:pPr>
  </w:style>
  <w:style w:type="paragraph" w:styleId="ListContinue">
    <w:name w:val="List Continue"/>
    <w:basedOn w:val="List"/>
    <w:rsid w:val="006E013B"/>
    <w:pPr>
      <w:ind w:firstLine="0"/>
    </w:pPr>
  </w:style>
  <w:style w:type="paragraph" w:customStyle="1" w:styleId="ListNote">
    <w:name w:val="List Note"/>
    <w:basedOn w:val="List"/>
    <w:rsid w:val="006E0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13B"/>
    <w:rPr>
      <w:rFonts w:ascii="Courier New" w:hAnsi="Courier New"/>
    </w:rPr>
  </w:style>
  <w:style w:type="paragraph" w:customStyle="1" w:styleId="NoteBullet">
    <w:name w:val="Note Bullet"/>
    <w:basedOn w:val="Note"/>
    <w:rsid w:val="006E0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1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0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13B"/>
    <w:rPr>
      <w:b/>
      <w:smallCaps/>
    </w:rPr>
  </w:style>
  <w:style w:type="paragraph" w:customStyle="1" w:styleId="TableListNumber">
    <w:name w:val="Table List Number"/>
    <w:basedOn w:val="ListNumber"/>
    <w:rsid w:val="006E0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13B"/>
    <w:pPr>
      <w:numPr>
        <w:numId w:val="10"/>
      </w:numPr>
    </w:pPr>
  </w:style>
  <w:style w:type="paragraph" w:customStyle="1" w:styleId="ListAlpha2">
    <w:name w:val="List Alpha 2"/>
    <w:basedOn w:val="List2"/>
    <w:rsid w:val="006E013B"/>
    <w:pPr>
      <w:numPr>
        <w:numId w:val="9"/>
      </w:numPr>
    </w:pPr>
  </w:style>
  <w:style w:type="paragraph" w:styleId="List2">
    <w:name w:val="List 2"/>
    <w:basedOn w:val="BodyText"/>
    <w:rsid w:val="006E0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1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01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013B"/>
    <w:pPr>
      <w:numPr>
        <w:numId w:val="5"/>
      </w:numPr>
    </w:pPr>
  </w:style>
  <w:style w:type="paragraph" w:styleId="ListContinue2">
    <w:name w:val="List Continue 2"/>
    <w:basedOn w:val="List2"/>
    <w:rsid w:val="006E013B"/>
    <w:pPr>
      <w:ind w:firstLine="0"/>
    </w:pPr>
  </w:style>
  <w:style w:type="paragraph" w:styleId="ListContinue3">
    <w:name w:val="List Continue 3"/>
    <w:basedOn w:val="List3"/>
    <w:rsid w:val="006E013B"/>
    <w:pPr>
      <w:ind w:left="1021" w:firstLine="0"/>
    </w:pPr>
  </w:style>
  <w:style w:type="paragraph" w:styleId="ListContinue4">
    <w:name w:val="List Continue 4"/>
    <w:basedOn w:val="List4"/>
    <w:rsid w:val="006E013B"/>
    <w:pPr>
      <w:ind w:firstLine="0"/>
    </w:pPr>
  </w:style>
  <w:style w:type="paragraph" w:styleId="ListContinue5">
    <w:name w:val="List Continue 5"/>
    <w:basedOn w:val="List5"/>
    <w:rsid w:val="006E013B"/>
    <w:pPr>
      <w:ind w:firstLine="0"/>
    </w:pPr>
  </w:style>
  <w:style w:type="paragraph" w:styleId="ListNumber3">
    <w:name w:val="List Number 3"/>
    <w:basedOn w:val="List3"/>
    <w:rsid w:val="006E013B"/>
    <w:pPr>
      <w:numPr>
        <w:numId w:val="6"/>
      </w:numPr>
    </w:pPr>
  </w:style>
  <w:style w:type="paragraph" w:styleId="ListNumber4">
    <w:name w:val="List Number 4"/>
    <w:basedOn w:val="List4"/>
    <w:rsid w:val="006E013B"/>
    <w:pPr>
      <w:numPr>
        <w:numId w:val="7"/>
      </w:numPr>
    </w:pPr>
  </w:style>
  <w:style w:type="paragraph" w:styleId="ListNumber5">
    <w:name w:val="List Number 5"/>
    <w:basedOn w:val="List5"/>
    <w:rsid w:val="006E013B"/>
    <w:pPr>
      <w:numPr>
        <w:numId w:val="8"/>
      </w:numPr>
    </w:pPr>
  </w:style>
  <w:style w:type="paragraph" w:styleId="BlockText">
    <w:name w:val="Block Text"/>
    <w:basedOn w:val="Normal"/>
    <w:rsid w:val="006E0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13B"/>
    <w:rPr>
      <w:sz w:val="16"/>
      <w:vertAlign w:val="superscript"/>
    </w:rPr>
  </w:style>
  <w:style w:type="character" w:customStyle="1" w:styleId="Symbols">
    <w:name w:val="Symbols"/>
    <w:basedOn w:val="DefaultParagraphFont"/>
    <w:rsid w:val="006E013B"/>
    <w:rPr>
      <w:rFonts w:ascii="Symbol" w:hAnsi="Symbol"/>
    </w:rPr>
  </w:style>
  <w:style w:type="character" w:customStyle="1" w:styleId="MenuOptions">
    <w:name w:val="Menu Options"/>
    <w:basedOn w:val="DefaultParagraphFont"/>
    <w:rsid w:val="006E0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13B"/>
    <w:rPr>
      <w:b/>
    </w:rPr>
  </w:style>
  <w:style w:type="character" w:customStyle="1" w:styleId="Underlined">
    <w:name w:val="Underlined"/>
    <w:basedOn w:val="DefaultParagraphFont"/>
    <w:rsid w:val="006E013B"/>
    <w:rPr>
      <w:u w:val="single"/>
    </w:rPr>
  </w:style>
  <w:style w:type="paragraph" w:customStyle="1" w:styleId="TableBodyTextRight">
    <w:name w:val="Table Body Text Right"/>
    <w:basedOn w:val="TableBodyText"/>
    <w:rsid w:val="006E0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13B"/>
    <w:rPr>
      <w:sz w:val="18"/>
    </w:rPr>
  </w:style>
  <w:style w:type="paragraph" w:customStyle="1" w:styleId="BodySmallRight">
    <w:name w:val="Body Small Right"/>
    <w:basedOn w:val="BodyTextRight"/>
    <w:rsid w:val="006E013B"/>
    <w:rPr>
      <w:sz w:val="18"/>
      <w:szCs w:val="18"/>
    </w:rPr>
  </w:style>
  <w:style w:type="paragraph" w:customStyle="1" w:styleId="MarginEdition">
    <w:name w:val="Margin Edition"/>
    <w:basedOn w:val="MarginNote"/>
    <w:rsid w:val="006E0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13B"/>
    <w:rPr>
      <w:sz w:val="2"/>
      <w:szCs w:val="2"/>
    </w:rPr>
  </w:style>
  <w:style w:type="character" w:customStyle="1" w:styleId="Small">
    <w:name w:val="Small"/>
    <w:basedOn w:val="DefaultParagraphFont"/>
    <w:rsid w:val="006E013B"/>
    <w:rPr>
      <w:sz w:val="16"/>
    </w:rPr>
  </w:style>
  <w:style w:type="paragraph" w:customStyle="1" w:styleId="WideTable">
    <w:name w:val="Wide Table"/>
    <w:basedOn w:val="Normal"/>
    <w:rsid w:val="006E0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13B"/>
  </w:style>
  <w:style w:type="paragraph" w:styleId="Quote">
    <w:name w:val="Quote"/>
    <w:basedOn w:val="Heading1"/>
    <w:link w:val="QuoteChar"/>
    <w:qFormat/>
    <w:rsid w:val="006E0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13B"/>
    <w:pPr>
      <w:pageBreakBefore/>
    </w:pPr>
  </w:style>
  <w:style w:type="paragraph" w:customStyle="1" w:styleId="Border">
    <w:name w:val="Border"/>
    <w:basedOn w:val="Normal"/>
    <w:qFormat/>
    <w:rsid w:val="006E0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13B"/>
    <w:rPr>
      <w:u w:val="single"/>
    </w:rPr>
  </w:style>
  <w:style w:type="character" w:customStyle="1" w:styleId="BoldandItalics">
    <w:name w:val="Bold and Italics"/>
    <w:qFormat/>
    <w:rsid w:val="006E013B"/>
    <w:rPr>
      <w:b/>
      <w:i/>
      <w:u w:val="none"/>
    </w:rPr>
  </w:style>
  <w:style w:type="paragraph" w:styleId="BalloonText">
    <w:name w:val="Balloon Text"/>
    <w:basedOn w:val="Normal"/>
    <w:link w:val="BalloonTextChar"/>
    <w:rsid w:val="006E0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13B"/>
    <w:pPr>
      <w:spacing w:before="0" w:after="0"/>
    </w:pPr>
  </w:style>
  <w:style w:type="paragraph" w:customStyle="1" w:styleId="BodyTextBold">
    <w:name w:val="Body Text Bold"/>
    <w:basedOn w:val="BodyText"/>
    <w:qFormat/>
    <w:rsid w:val="006E013B"/>
    <w:rPr>
      <w:b/>
    </w:rPr>
  </w:style>
  <w:style w:type="character" w:styleId="Hyperlink">
    <w:name w:val="Hyperlink"/>
    <w:basedOn w:val="DefaultParagraphFont"/>
    <w:uiPriority w:val="99"/>
    <w:unhideWhenUsed/>
    <w:rsid w:val="00AF5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2476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MSFFL3100 Apply densifiers and sealers to concrete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