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1E7" w:rsidP="00914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MSFFL3077 Prepare subfloors for resin flooring systems</w:t>
      </w:r>
      <w:r>
        <w:fldChar w:fldCharType="end"/>
      </w:r>
    </w:p>
    <w:p w:rsidR="009141E7" w:rsidP="009141E7">
      <w:pPr>
        <w:pStyle w:val="Version"/>
        <w:sectPr w:rsidSect="00A62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B57" w:rsidP="00A62B57">
      <w:pPr>
        <w:pStyle w:val="SuperHeading"/>
      </w:pPr>
      <w:r w:rsidRPr="00A62B57">
        <w:t>Assessment Requirements for MSFFL3077 Prepare subfloors for resin flooring systems</w:t>
      </w:r>
    </w:p>
    <w:p w:rsidR="00000000" w:rsidRPr="00A62B57" w:rsidP="00A62B57">
      <w:pPr>
        <w:pStyle w:val="Heading1"/>
      </w:pPr>
      <w:bookmarkStart w:id="1" w:name="O_1014313"/>
      <w:bookmarkEnd w:id="1"/>
      <w:r w:rsidRPr="00A62B57">
        <w:t>Modification History</w:t>
      </w:r>
    </w:p>
    <w:p w:rsidR="009141E7" w:rsidP="009141E7">
      <w:pPr>
        <w:pStyle w:val="BodyText"/>
      </w:pPr>
      <w:r w:rsidRPr="00A62B57">
        <w:t xml:space="preserve">Release 1. New unit. </w:t>
      </w:r>
    </w:p>
    <w:p w:rsidR="00000000" w:rsidRPr="00A62B57" w:rsidP="00A62B57">
      <w:pPr>
        <w:pStyle w:val="Heading1"/>
      </w:pPr>
      <w:bookmarkStart w:id="2" w:name="O_1014316"/>
      <w:bookmarkEnd w:id="2"/>
      <w:r w:rsidRPr="00A62B57">
        <w:t>Performance Evidence</w:t>
      </w:r>
    </w:p>
    <w:p w:rsidR="00000000" w:rsidRPr="00A62B57" w:rsidP="009141E7">
      <w:pPr>
        <w:pStyle w:val="BodyText"/>
      </w:pPr>
      <w:r w:rsidRPr="00A62B57">
        <w:t xml:space="preserve">There must be evidence the candidate has completed the tasks outlined in the elements and performance criteria of this unit, and: </w:t>
      </w:r>
    </w:p>
    <w:p w:rsidR="00000000" w:rsidRPr="00A62B57" w:rsidP="00A62B57">
      <w:pPr>
        <w:pStyle w:val="ListBullet"/>
      </w:pPr>
      <w:r w:rsidRPr="00A62B57">
        <w:t>completed the following:</w:t>
      </w:r>
    </w:p>
    <w:p w:rsidR="00000000" w:rsidRPr="00A62B57" w:rsidP="00A62B57">
      <w:pPr>
        <w:pStyle w:val="ListBullet2"/>
      </w:pPr>
      <w:r w:rsidRPr="00A62B57">
        <w:t>2 patch repairs – patch chipped concrete and static crack repairs to feather edge</w:t>
      </w:r>
    </w:p>
    <w:p w:rsidR="00000000" w:rsidRPr="00A62B57" w:rsidP="00A62B57">
      <w:pPr>
        <w:pStyle w:val="ListBullet2"/>
      </w:pPr>
      <w:r w:rsidRPr="00A62B57">
        <w:t>2 floor levellin</w:t>
      </w:r>
      <w:r w:rsidRPr="00A62B57">
        <w:t>g repairs – ramp at door transition and falls to drain</w:t>
      </w:r>
    </w:p>
    <w:p w:rsidR="00000000" w:rsidRPr="00A62B57" w:rsidP="00A62B57">
      <w:pPr>
        <w:pStyle w:val="ListBullet2"/>
      </w:pPr>
      <w:r w:rsidRPr="00A62B57">
        <w:t>2 in-fills – rebuild expansion joint and install a floor waste</w:t>
      </w:r>
    </w:p>
    <w:p w:rsidR="00000000" w:rsidRPr="00A62B57" w:rsidP="00A62B57">
      <w:pPr>
        <w:pStyle w:val="ListBullet2"/>
      </w:pPr>
      <w:r w:rsidRPr="00A62B57">
        <w:t>2 crack repairs – chase out, overfill, grind back and infill, sawcut and caulk sealant</w:t>
      </w:r>
    </w:p>
    <w:p w:rsidR="00000000" w:rsidRPr="00A62B57" w:rsidP="00A62B57">
      <w:pPr>
        <w:pStyle w:val="ListBullet2"/>
      </w:pPr>
      <w:r w:rsidRPr="00A62B57">
        <w:t>2 coves – install arrowhead coving system and smoot</w:t>
      </w:r>
      <w:r w:rsidRPr="00A62B57">
        <w:t>h edge cove</w:t>
      </w:r>
    </w:p>
    <w:p w:rsidR="009141E7" w:rsidP="00A62B57">
      <w:pPr>
        <w:pStyle w:val="ListBullet2"/>
      </w:pPr>
      <w:r w:rsidRPr="00A62B57">
        <w:t>1 primer to strengthen weak or porous substrate.</w:t>
      </w:r>
    </w:p>
    <w:p w:rsidR="009141E7" w:rsidP="00A62B57">
      <w:pPr>
        <w:pStyle w:val="ListBullet2"/>
      </w:pPr>
    </w:p>
    <w:p w:rsidR="00000000" w:rsidRPr="00A62B57" w:rsidP="00A62B57">
      <w:pPr>
        <w:pStyle w:val="Heading1"/>
      </w:pPr>
      <w:bookmarkStart w:id="3" w:name="O_1014315"/>
      <w:bookmarkEnd w:id="3"/>
      <w:r w:rsidRPr="00A62B57">
        <w:t>Knowledge Evidence</w:t>
      </w:r>
    </w:p>
    <w:p w:rsidR="00000000" w:rsidRPr="00A62B57" w:rsidP="009141E7">
      <w:pPr>
        <w:pStyle w:val="BodyText"/>
      </w:pPr>
      <w:r w:rsidRPr="00A62B57">
        <w:t xml:space="preserve">There must be evidence the candidate has knowledge of: </w:t>
      </w:r>
    </w:p>
    <w:p w:rsidR="00000000" w:rsidRPr="00A62B57" w:rsidP="00A62B57">
      <w:pPr>
        <w:pStyle w:val="ListBullet"/>
      </w:pPr>
      <w:r w:rsidRPr="00A62B57">
        <w:t xml:space="preserve">key aspects of state or territory legislation, regulations, standards and codes of practice, </w:t>
      </w:r>
      <w:r w:rsidRPr="00A62B57">
        <w:t>including individual technician rights and obligations relating to:</w:t>
      </w:r>
    </w:p>
    <w:p w:rsidR="00000000" w:rsidRPr="00A62B57" w:rsidP="00A62B57">
      <w:pPr>
        <w:pStyle w:val="ListBullet2"/>
      </w:pPr>
      <w:r w:rsidRPr="00A62B57">
        <w:t>workplace health and safety</w:t>
      </w:r>
    </w:p>
    <w:p w:rsidR="00000000" w:rsidRPr="00A62B57" w:rsidP="00A62B57">
      <w:pPr>
        <w:pStyle w:val="ListBullet2"/>
      </w:pPr>
      <w:r w:rsidRPr="00A62B57">
        <w:t>consumer law</w:t>
      </w:r>
    </w:p>
    <w:p w:rsidR="00000000" w:rsidRPr="00A62B57" w:rsidP="00A62B57">
      <w:pPr>
        <w:pStyle w:val="ListBullet2"/>
      </w:pPr>
      <w:r w:rsidRPr="00A62B57">
        <w:t>environmental protection and sustainable use of materials</w:t>
      </w:r>
    </w:p>
    <w:p w:rsidR="00000000" w:rsidRPr="00A62B57" w:rsidP="00A62B57">
      <w:pPr>
        <w:pStyle w:val="ListBullet"/>
      </w:pPr>
      <w:r w:rsidRPr="00A62B57">
        <w:t>how to access supplier instructions</w:t>
      </w:r>
    </w:p>
    <w:p w:rsidR="00000000" w:rsidRPr="00A62B57" w:rsidP="00A62B57">
      <w:pPr>
        <w:pStyle w:val="ListBullet"/>
      </w:pPr>
      <w:r w:rsidRPr="00A62B57">
        <w:t>mathematical procedures for estimation and measurem</w:t>
      </w:r>
      <w:r w:rsidRPr="00A62B57">
        <w:t>ent, including calculation of area, volumes and use of ratios for mixing</w:t>
      </w:r>
    </w:p>
    <w:p w:rsidR="00000000" w:rsidRPr="00A62B57" w:rsidP="00A62B57">
      <w:pPr>
        <w:pStyle w:val="ListBullet"/>
      </w:pPr>
      <w:r w:rsidRPr="00A62B57">
        <w:t>types, uses and limitations of tools and equipment used in substrate repair</w:t>
      </w:r>
    </w:p>
    <w:p w:rsidR="00000000" w:rsidRPr="00A62B57" w:rsidP="00A62B57">
      <w:pPr>
        <w:pStyle w:val="ListBullet"/>
      </w:pPr>
      <w:r w:rsidRPr="00A62B57">
        <w:t>characteristics and requirements of suitable subfloor preparation, including different methods and products</w:t>
      </w:r>
      <w:r w:rsidRPr="00A62B57">
        <w:t xml:space="preserve"> used to profile, repair, prime and clean</w:t>
      </w:r>
    </w:p>
    <w:p w:rsidR="00000000" w:rsidRPr="00A62B57" w:rsidP="00A62B57">
      <w:pPr>
        <w:pStyle w:val="ListBullet"/>
      </w:pPr>
      <w:r w:rsidRPr="00A62B57">
        <w:t>the features and layout of an effective mixing area</w:t>
      </w:r>
    </w:p>
    <w:p w:rsidR="00000000" w:rsidRPr="00A62B57" w:rsidP="00A62B57">
      <w:pPr>
        <w:pStyle w:val="ListBullet"/>
      </w:pPr>
      <w:r w:rsidRPr="00A62B57">
        <w:t>taping techniques to protect surfaces that aren’t to be coated, including walls, edges, transitions and boundaries on the floor</w:t>
      </w:r>
    </w:p>
    <w:p w:rsidR="00000000" w:rsidRPr="00A62B57" w:rsidP="00A62B57">
      <w:pPr>
        <w:pStyle w:val="ListBullet"/>
      </w:pPr>
      <w:r w:rsidRPr="00A62B57">
        <w:t>personal protective equipment (PPE) and correct usage</w:t>
      </w:r>
    </w:p>
    <w:p w:rsidR="00000000" w:rsidRPr="00A62B57" w:rsidP="00A62B57">
      <w:pPr>
        <w:pStyle w:val="ListBullet"/>
      </w:pPr>
      <w:r w:rsidRPr="00A62B57">
        <w:t>techniques for the following, the types of problems that may occur and how to avoid and respond:</w:t>
      </w:r>
    </w:p>
    <w:p w:rsidR="00000000" w:rsidRPr="00A62B57" w:rsidP="00A62B57">
      <w:pPr>
        <w:pStyle w:val="ListBullet2"/>
      </w:pPr>
      <w:r w:rsidRPr="00A62B57">
        <w:t>measuring out and mixing substrate repair systems, including pigment, fillers and/or aggregate and stir-</w:t>
      </w:r>
      <w:r w:rsidRPr="00A62B57">
        <w:t xml:space="preserve">in additives </w:t>
      </w:r>
    </w:p>
    <w:p w:rsidR="00000000" w:rsidRPr="00A62B57" w:rsidP="00A62B57">
      <w:pPr>
        <w:pStyle w:val="ListBullet2"/>
      </w:pPr>
      <w:r w:rsidRPr="00A62B57">
        <w:t>applying floor levelers, including brushing, rolling, raking and troweling</w:t>
      </w:r>
    </w:p>
    <w:p w:rsidR="00000000" w:rsidRPr="00A62B57" w:rsidP="00A62B57">
      <w:pPr>
        <w:pStyle w:val="ListBullet2"/>
      </w:pPr>
      <w:r w:rsidRPr="00A62B57">
        <w:t>identifying when and how to apply a suitable resin primer to strengthen up a weak or porous substrate</w:t>
      </w:r>
    </w:p>
    <w:p w:rsidR="00000000" w:rsidRPr="00A62B57" w:rsidP="00A62B57">
      <w:pPr>
        <w:pStyle w:val="ListBullet2"/>
      </w:pPr>
      <w:r w:rsidRPr="00A62B57">
        <w:t>applying in-fills, including brushing, trowelling and finishing</w:t>
      </w:r>
    </w:p>
    <w:p w:rsidR="00000000" w:rsidRPr="00A62B57" w:rsidP="00A62B57">
      <w:pPr>
        <w:pStyle w:val="ListBullet2"/>
      </w:pPr>
      <w:r w:rsidRPr="00A62B57">
        <w:t>a</w:t>
      </w:r>
      <w:r w:rsidRPr="00A62B57">
        <w:t xml:space="preserve">pplying dynamic crack repair systems, including concrete cutting, trowelling and caulking </w:t>
      </w:r>
    </w:p>
    <w:p w:rsidR="00000000" w:rsidRPr="00A62B57" w:rsidP="00A62B57">
      <w:pPr>
        <w:pStyle w:val="ListBullet2"/>
      </w:pPr>
      <w:r w:rsidRPr="00A62B57">
        <w:t>applying joint repair systems, including concrete cutting, jackhammering, trowelling and caulking</w:t>
      </w:r>
    </w:p>
    <w:p w:rsidR="00000000" w:rsidRPr="00A62B57" w:rsidP="00A62B57">
      <w:pPr>
        <w:pStyle w:val="ListBullet2"/>
      </w:pPr>
      <w:r w:rsidRPr="00A62B57">
        <w:t>applying coving, including brushing, trowelling, coving and finishi</w:t>
      </w:r>
      <w:r w:rsidRPr="00A62B57">
        <w:t>ng</w:t>
      </w:r>
    </w:p>
    <w:p w:rsidR="00000000" w:rsidRPr="00A62B57" w:rsidP="00A62B57">
      <w:pPr>
        <w:pStyle w:val="ListBullet"/>
      </w:pPr>
      <w:r w:rsidRPr="00A62B57">
        <w:t>quality indicators for repaired substrate</w:t>
      </w:r>
    </w:p>
    <w:p w:rsidR="00000000" w:rsidRPr="00A62B57" w:rsidP="00A62B57">
      <w:pPr>
        <w:pStyle w:val="ListBullet"/>
      </w:pPr>
      <w:r w:rsidRPr="00A62B57">
        <w:t>cleaning and storage procedures for PPE, tools, equipment and unused materials</w:t>
      </w:r>
    </w:p>
    <w:p w:rsidR="00000000" w:rsidRPr="00A62B57" w:rsidP="00A62B57">
      <w:pPr>
        <w:pStyle w:val="ListBullet"/>
      </w:pPr>
      <w:r w:rsidRPr="00A62B57">
        <w:t>disposal procedures for waste materials</w:t>
      </w:r>
    </w:p>
    <w:p w:rsidR="009141E7" w:rsidP="00A62B57">
      <w:pPr>
        <w:pStyle w:val="ListBullet"/>
      </w:pPr>
      <w:r w:rsidRPr="00A62B57">
        <w:t>requirements and protocols for recording, reporting and maintaining workplace records and i</w:t>
      </w:r>
      <w:r w:rsidRPr="00A62B57">
        <w:t>nformation.</w:t>
      </w:r>
    </w:p>
    <w:p w:rsidR="009141E7" w:rsidP="00A62B57">
      <w:pPr>
        <w:pStyle w:val="ListBullet"/>
      </w:pPr>
    </w:p>
    <w:p w:rsidR="00000000" w:rsidRPr="00A62B57" w:rsidP="00A62B57">
      <w:pPr>
        <w:pStyle w:val="Heading1"/>
      </w:pPr>
      <w:bookmarkStart w:id="4" w:name="O_1014314"/>
      <w:bookmarkEnd w:id="4"/>
      <w:r w:rsidRPr="00A62B57">
        <w:t>Assessment Conditions</w:t>
      </w:r>
    </w:p>
    <w:p w:rsidR="00000000" w:rsidRPr="00A62B57" w:rsidP="009141E7">
      <w:pPr>
        <w:pStyle w:val="BodyText"/>
      </w:pPr>
      <w:r w:rsidRPr="00A62B5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62B57" w:rsidP="00A62B57">
      <w:pPr>
        <w:pStyle w:val="ListBullet"/>
      </w:pPr>
      <w:r w:rsidRPr="00A62B57">
        <w:t xml:space="preserve">use of suitable facilities, equipment and resources, including: </w:t>
      </w:r>
    </w:p>
    <w:p w:rsidR="00000000" w:rsidRPr="00A62B57" w:rsidP="00A62B57">
      <w:pPr>
        <w:pStyle w:val="ListBullet2"/>
      </w:pPr>
      <w:r w:rsidRPr="00A62B57">
        <w:t>subfloors requiring repairs as outlined in the Performance Evidence</w:t>
      </w:r>
    </w:p>
    <w:p w:rsidR="00000000" w:rsidRPr="00A62B57" w:rsidP="00A62B57">
      <w:pPr>
        <w:pStyle w:val="ListBullet2"/>
      </w:pPr>
      <w:r w:rsidRPr="00A62B57">
        <w:t>work orders</w:t>
      </w:r>
    </w:p>
    <w:p w:rsidR="00000000" w:rsidRPr="00A62B57" w:rsidP="00A62B57">
      <w:pPr>
        <w:pStyle w:val="ListBullet2"/>
      </w:pPr>
      <w:r w:rsidRPr="00A62B57">
        <w:t>tools and equipment to complete tasks in the Performance Evidence, including safety and personal protective eq</w:t>
      </w:r>
      <w:r w:rsidRPr="00A62B57">
        <w:t>uipment</w:t>
      </w:r>
    </w:p>
    <w:p w:rsidR="00000000" w:rsidRPr="00A62B57" w:rsidP="00A62B57">
      <w:pPr>
        <w:pStyle w:val="ListBullet2"/>
      </w:pPr>
      <w:r w:rsidRPr="00A62B57">
        <w:t>workplace procedures.</w:t>
      </w:r>
    </w:p>
    <w:p w:rsidR="00000000" w:rsidRPr="00A62B57" w:rsidP="009141E7">
      <w:pPr>
        <w:pStyle w:val="BodyText"/>
      </w:pPr>
      <w:r w:rsidRPr="00A62B57">
        <w:t>The assessor must directly observe each type of repair being made on at least one occasion.</w:t>
      </w:r>
    </w:p>
    <w:p w:rsidR="009141E7" w:rsidP="009141E7">
      <w:pPr>
        <w:pStyle w:val="BodyText"/>
      </w:pPr>
      <w:r w:rsidRPr="00A62B57">
        <w:t>Assessors must satisfy the NVR/AQTF mandatory competency requirements for assessors.</w:t>
      </w:r>
    </w:p>
    <w:p w:rsidR="00000000" w:rsidRPr="00A62B57" w:rsidP="00A62B57">
      <w:pPr>
        <w:pStyle w:val="Heading1"/>
      </w:pPr>
      <w:bookmarkStart w:id="5" w:name="O_1014312"/>
      <w:bookmarkEnd w:id="5"/>
      <w:r w:rsidRPr="00A62B57">
        <w:t>Links</w:t>
      </w:r>
    </w:p>
    <w:p w:rsidR="00000000" w:rsidRPr="00A62B57" w:rsidP="009141E7">
      <w:pPr>
        <w:pStyle w:val="BodyText"/>
      </w:pPr>
      <w:r w:rsidRPr="00A62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34DB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62B57" w:rsidP="00A62B57"/>
    <w:sectPr w:rsidSect="00A62B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E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E7" w:rsidP="00A62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1E7" w:rsidP="00A62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41E7" w:rsidP="00A62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B57" w:rsidRPr="009141E7" w:rsidP="00914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E7" w:rsidRPr="002D2AF8" w:rsidP="00A62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MSFFL3077 Prepare subfloors for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141E7" w:rsidP="00A62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64F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8EF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CC1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B57"/>
  </w:style>
  <w:style w:type="character" w:customStyle="1" w:styleId="Heading1Char">
    <w:name w:val="Heading 1 Char"/>
    <w:basedOn w:val="DefaultParagraphFont"/>
    <w:link w:val="Heading1"/>
    <w:rsid w:val="00A62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B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2B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B57"/>
    <w:rPr>
      <w:b/>
      <w:spacing w:val="0"/>
    </w:rPr>
  </w:style>
  <w:style w:type="paragraph" w:customStyle="1" w:styleId="SuperTitle">
    <w:name w:val="SuperTitle"/>
    <w:basedOn w:val="Title"/>
    <w:rsid w:val="00A62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B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B57"/>
    <w:rPr>
      <w:i/>
    </w:rPr>
  </w:style>
  <w:style w:type="paragraph" w:styleId="Caption">
    <w:name w:val="caption"/>
    <w:basedOn w:val="BodyText"/>
    <w:next w:val="Normal"/>
    <w:qFormat/>
    <w:rsid w:val="00A62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B57"/>
  </w:style>
  <w:style w:type="paragraph" w:styleId="TableofFigures">
    <w:name w:val="table of figures"/>
    <w:basedOn w:val="Normal"/>
    <w:next w:val="Normal"/>
    <w:semiHidden/>
    <w:rsid w:val="00A62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B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B57"/>
    <w:rPr>
      <w:rFonts w:ascii="Wingdings" w:hAnsi="Wingdings"/>
    </w:rPr>
  </w:style>
  <w:style w:type="paragraph" w:customStyle="1" w:styleId="TableHeading">
    <w:name w:val="Table Heading"/>
    <w:basedOn w:val="HeadingBase"/>
    <w:rsid w:val="00A62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B57"/>
    <w:rPr>
      <w:color w:val="0033CC"/>
      <w:u w:val="none"/>
    </w:rPr>
  </w:style>
  <w:style w:type="paragraph" w:customStyle="1" w:styleId="BodyTextRight">
    <w:name w:val="Body Text Right"/>
    <w:basedOn w:val="BodyText"/>
    <w:rsid w:val="00A62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B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B57"/>
    <w:rPr>
      <w:sz w:val="32"/>
    </w:rPr>
  </w:style>
  <w:style w:type="paragraph" w:customStyle="1" w:styleId="HeadingProcedure">
    <w:name w:val="Heading Procedure"/>
    <w:basedOn w:val="HeadingBase"/>
    <w:next w:val="Normal"/>
    <w:rsid w:val="00A62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B57"/>
    <w:pPr>
      <w:spacing w:before="60" w:after="60"/>
    </w:pPr>
  </w:style>
  <w:style w:type="paragraph" w:styleId="ListContinue">
    <w:name w:val="List Continue"/>
    <w:basedOn w:val="List"/>
    <w:rsid w:val="00A62B57"/>
    <w:pPr>
      <w:ind w:firstLine="0"/>
    </w:pPr>
  </w:style>
  <w:style w:type="paragraph" w:customStyle="1" w:styleId="ListNote">
    <w:name w:val="List Note"/>
    <w:basedOn w:val="List"/>
    <w:rsid w:val="00A62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B57"/>
    <w:rPr>
      <w:rFonts w:ascii="Courier New" w:hAnsi="Courier New"/>
    </w:rPr>
  </w:style>
  <w:style w:type="paragraph" w:customStyle="1" w:styleId="NoteBullet">
    <w:name w:val="Note Bullet"/>
    <w:basedOn w:val="Note"/>
    <w:rsid w:val="00A62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B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B57"/>
    <w:rPr>
      <w:b/>
      <w:smallCaps/>
    </w:rPr>
  </w:style>
  <w:style w:type="paragraph" w:customStyle="1" w:styleId="TableListNumber">
    <w:name w:val="Table List Number"/>
    <w:basedOn w:val="ListNumber"/>
    <w:rsid w:val="00A62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B57"/>
    <w:pPr>
      <w:numPr>
        <w:numId w:val="9"/>
      </w:numPr>
    </w:pPr>
  </w:style>
  <w:style w:type="paragraph" w:customStyle="1" w:styleId="ListAlpha2">
    <w:name w:val="List Alpha 2"/>
    <w:basedOn w:val="List2"/>
    <w:rsid w:val="00A62B57"/>
    <w:pPr>
      <w:numPr>
        <w:numId w:val="8"/>
      </w:numPr>
    </w:pPr>
  </w:style>
  <w:style w:type="paragraph" w:styleId="List2">
    <w:name w:val="List 2"/>
    <w:basedOn w:val="BodyText"/>
    <w:rsid w:val="00A62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B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B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B57"/>
    <w:pPr>
      <w:numPr>
        <w:numId w:val="4"/>
      </w:numPr>
    </w:pPr>
  </w:style>
  <w:style w:type="paragraph" w:styleId="ListContinue2">
    <w:name w:val="List Continue 2"/>
    <w:basedOn w:val="List2"/>
    <w:rsid w:val="00A62B57"/>
    <w:pPr>
      <w:ind w:firstLine="0"/>
    </w:pPr>
  </w:style>
  <w:style w:type="paragraph" w:styleId="ListContinue3">
    <w:name w:val="List Continue 3"/>
    <w:basedOn w:val="List3"/>
    <w:rsid w:val="00A62B57"/>
    <w:pPr>
      <w:ind w:left="1021" w:firstLine="0"/>
    </w:pPr>
  </w:style>
  <w:style w:type="paragraph" w:styleId="ListContinue4">
    <w:name w:val="List Continue 4"/>
    <w:basedOn w:val="List4"/>
    <w:rsid w:val="00A62B57"/>
    <w:pPr>
      <w:ind w:firstLine="0"/>
    </w:pPr>
  </w:style>
  <w:style w:type="paragraph" w:styleId="ListContinue5">
    <w:name w:val="List Continue 5"/>
    <w:basedOn w:val="List5"/>
    <w:rsid w:val="00A62B57"/>
    <w:pPr>
      <w:ind w:firstLine="0"/>
    </w:pPr>
  </w:style>
  <w:style w:type="paragraph" w:styleId="ListNumber3">
    <w:name w:val="List Number 3"/>
    <w:basedOn w:val="List3"/>
    <w:rsid w:val="00A62B57"/>
    <w:pPr>
      <w:numPr>
        <w:numId w:val="5"/>
      </w:numPr>
    </w:pPr>
  </w:style>
  <w:style w:type="paragraph" w:styleId="ListNumber4">
    <w:name w:val="List Number 4"/>
    <w:basedOn w:val="List4"/>
    <w:rsid w:val="00A62B57"/>
    <w:pPr>
      <w:numPr>
        <w:numId w:val="6"/>
      </w:numPr>
    </w:pPr>
  </w:style>
  <w:style w:type="paragraph" w:styleId="ListNumber5">
    <w:name w:val="List Number 5"/>
    <w:basedOn w:val="List5"/>
    <w:rsid w:val="00A62B57"/>
    <w:pPr>
      <w:numPr>
        <w:numId w:val="7"/>
      </w:numPr>
    </w:pPr>
  </w:style>
  <w:style w:type="paragraph" w:styleId="BlockText">
    <w:name w:val="Block Text"/>
    <w:basedOn w:val="Normal"/>
    <w:rsid w:val="00A62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B57"/>
    <w:rPr>
      <w:sz w:val="16"/>
      <w:vertAlign w:val="superscript"/>
    </w:rPr>
  </w:style>
  <w:style w:type="character" w:customStyle="1" w:styleId="Symbols">
    <w:name w:val="Symbols"/>
    <w:basedOn w:val="DefaultParagraphFont"/>
    <w:rsid w:val="00A62B57"/>
    <w:rPr>
      <w:rFonts w:ascii="Symbol" w:hAnsi="Symbol"/>
    </w:rPr>
  </w:style>
  <w:style w:type="character" w:customStyle="1" w:styleId="MenuOptions">
    <w:name w:val="Menu Options"/>
    <w:basedOn w:val="DefaultParagraphFont"/>
    <w:rsid w:val="00A62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B57"/>
    <w:rPr>
      <w:b/>
    </w:rPr>
  </w:style>
  <w:style w:type="character" w:customStyle="1" w:styleId="Underlined">
    <w:name w:val="Underlined"/>
    <w:basedOn w:val="DefaultParagraphFont"/>
    <w:rsid w:val="00A62B57"/>
    <w:rPr>
      <w:u w:val="single"/>
    </w:rPr>
  </w:style>
  <w:style w:type="paragraph" w:customStyle="1" w:styleId="TableBodyTextRight">
    <w:name w:val="Table Body Text Right"/>
    <w:basedOn w:val="TableBodyText"/>
    <w:rsid w:val="00A62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B57"/>
    <w:rPr>
      <w:sz w:val="18"/>
    </w:rPr>
  </w:style>
  <w:style w:type="paragraph" w:customStyle="1" w:styleId="BodySmallRight">
    <w:name w:val="Body Small Right"/>
    <w:basedOn w:val="BodyTextRight"/>
    <w:rsid w:val="00A62B57"/>
    <w:rPr>
      <w:sz w:val="18"/>
      <w:szCs w:val="18"/>
    </w:rPr>
  </w:style>
  <w:style w:type="paragraph" w:customStyle="1" w:styleId="MarginEdition">
    <w:name w:val="Margin Edition"/>
    <w:basedOn w:val="MarginNote"/>
    <w:rsid w:val="00A62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B57"/>
    <w:rPr>
      <w:sz w:val="2"/>
      <w:szCs w:val="2"/>
    </w:rPr>
  </w:style>
  <w:style w:type="character" w:customStyle="1" w:styleId="Small">
    <w:name w:val="Small"/>
    <w:basedOn w:val="DefaultParagraphFont"/>
    <w:rsid w:val="00A62B57"/>
    <w:rPr>
      <w:sz w:val="16"/>
    </w:rPr>
  </w:style>
  <w:style w:type="paragraph" w:customStyle="1" w:styleId="WideTable">
    <w:name w:val="Wide Table"/>
    <w:basedOn w:val="Normal"/>
    <w:rsid w:val="00A62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B57"/>
  </w:style>
  <w:style w:type="paragraph" w:styleId="Quote">
    <w:name w:val="Quote"/>
    <w:basedOn w:val="Heading1"/>
    <w:link w:val="QuoteChar"/>
    <w:qFormat/>
    <w:rsid w:val="00A62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B57"/>
    <w:pPr>
      <w:pageBreakBefore/>
    </w:pPr>
  </w:style>
  <w:style w:type="paragraph" w:customStyle="1" w:styleId="Border">
    <w:name w:val="Border"/>
    <w:basedOn w:val="Normal"/>
    <w:qFormat/>
    <w:rsid w:val="00A62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B57"/>
    <w:rPr>
      <w:u w:val="single"/>
    </w:rPr>
  </w:style>
  <w:style w:type="character" w:customStyle="1" w:styleId="BoldandItalics">
    <w:name w:val="Bold and Italics"/>
    <w:qFormat/>
    <w:rsid w:val="00A62B57"/>
    <w:rPr>
      <w:b/>
      <w:i/>
      <w:u w:val="none"/>
    </w:rPr>
  </w:style>
  <w:style w:type="paragraph" w:styleId="BalloonText">
    <w:name w:val="Balloon Text"/>
    <w:basedOn w:val="Normal"/>
    <w:link w:val="BalloonTextChar"/>
    <w:rsid w:val="00A62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B57"/>
    <w:pPr>
      <w:spacing w:before="0" w:after="0"/>
    </w:pPr>
  </w:style>
  <w:style w:type="paragraph" w:customStyle="1" w:styleId="BodyTextBold">
    <w:name w:val="Body Text Bold"/>
    <w:basedOn w:val="BodyText"/>
    <w:qFormat/>
    <w:rsid w:val="00A62B57"/>
    <w:rPr>
      <w:b/>
    </w:rPr>
  </w:style>
  <w:style w:type="character" w:styleId="Hyperlink">
    <w:name w:val="Hyperlink"/>
    <w:basedOn w:val="DefaultParagraphFont"/>
    <w:uiPriority w:val="99"/>
    <w:unhideWhenUsed/>
    <w:rsid w:val="00914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3237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MSFFL3077 Prepare subfloors for resin flooring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