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96F" w:rsidP="008B09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MSFFL3076 Mix and apply high-build decorative resin flooring systems</w:t>
      </w:r>
      <w:r>
        <w:fldChar w:fldCharType="end"/>
      </w:r>
    </w:p>
    <w:p w:rsidR="008B096F" w:rsidP="008B096F">
      <w:pPr>
        <w:pStyle w:val="Version"/>
        <w:sectPr w:rsidSect="00A61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27C" w:rsidP="00A6127C">
      <w:pPr>
        <w:pStyle w:val="SuperHeading"/>
      </w:pPr>
      <w:r w:rsidRPr="00A6127C">
        <w:t>Assessment Requirements for MSFFL3076 Mix and apply high-build decorative resin flooring systems</w:t>
      </w:r>
    </w:p>
    <w:p w:rsidR="00000000" w:rsidRPr="00A6127C" w:rsidP="00A6127C">
      <w:pPr>
        <w:pStyle w:val="Heading1"/>
      </w:pPr>
      <w:bookmarkStart w:id="1" w:name="O_1014296"/>
      <w:bookmarkEnd w:id="1"/>
      <w:r w:rsidRPr="00A6127C">
        <w:t>Modification History</w:t>
      </w:r>
    </w:p>
    <w:p w:rsidR="008B096F" w:rsidP="008B096F">
      <w:pPr>
        <w:pStyle w:val="BodyText"/>
      </w:pPr>
      <w:r w:rsidRPr="00A6127C">
        <w:t xml:space="preserve">Release 1. New unit. </w:t>
      </w:r>
    </w:p>
    <w:p w:rsidR="00000000" w:rsidRPr="00A6127C" w:rsidP="00A6127C">
      <w:pPr>
        <w:pStyle w:val="Heading1"/>
      </w:pPr>
      <w:bookmarkStart w:id="2" w:name="O_1014299"/>
      <w:bookmarkEnd w:id="2"/>
      <w:r w:rsidRPr="00A6127C">
        <w:t>Performance Evidence</w:t>
      </w:r>
    </w:p>
    <w:p w:rsidR="00000000" w:rsidRPr="00A6127C" w:rsidP="008B096F">
      <w:pPr>
        <w:pStyle w:val="BodyText"/>
      </w:pPr>
      <w:r w:rsidRPr="00A6127C">
        <w:t>There must be evidence the cand</w:t>
      </w:r>
      <w:r w:rsidRPr="00A6127C">
        <w:t>idate has completed the tasks outlined in the elements and performance criteria of this unit, and:</w:t>
      </w:r>
    </w:p>
    <w:p w:rsidR="00000000" w:rsidRPr="00A6127C" w:rsidP="00A6127C">
      <w:pPr>
        <w:pStyle w:val="ListBullet"/>
      </w:pPr>
      <w:r w:rsidRPr="00A6127C">
        <w:t>applied 3 separate high-build decorative resin flooring systems in accordance with job requirements:</w:t>
      </w:r>
    </w:p>
    <w:p w:rsidR="00000000" w:rsidRPr="00A6127C" w:rsidP="00A6127C">
      <w:pPr>
        <w:pStyle w:val="ListBullet2"/>
      </w:pPr>
      <w:r w:rsidRPr="00A6127C">
        <w:t>1 to an area of at least 10m</w:t>
      </w:r>
      <w:r w:rsidRPr="00A6127C">
        <w:rPr>
          <w:rStyle w:val="Superscript"/>
        </w:rPr>
        <w:t>2</w:t>
      </w:r>
    </w:p>
    <w:p w:rsidR="00000000" w:rsidRPr="00A6127C" w:rsidP="00A6127C">
      <w:pPr>
        <w:pStyle w:val="ListBullet2"/>
      </w:pPr>
      <w:r w:rsidRPr="00A6127C">
        <w:t>1 to an area of more tha</w:t>
      </w:r>
      <w:r w:rsidRPr="00A6127C">
        <w:t>n 10m</w:t>
      </w:r>
      <w:r w:rsidRPr="00A6127C">
        <w:rPr>
          <w:rStyle w:val="Superscript"/>
        </w:rPr>
        <w:t>2</w:t>
      </w:r>
    </w:p>
    <w:p w:rsidR="008B096F" w:rsidP="00A6127C">
      <w:pPr>
        <w:pStyle w:val="ListBullet2"/>
      </w:pPr>
      <w:r w:rsidRPr="00A6127C">
        <w:t>1 to an area of more than 20m</w:t>
      </w:r>
      <w:r w:rsidRPr="00A6127C">
        <w:rPr>
          <w:rStyle w:val="Superscript"/>
        </w:rPr>
        <w:t>2</w:t>
      </w:r>
      <w:r w:rsidRPr="00A6127C">
        <w:t>.</w:t>
      </w:r>
    </w:p>
    <w:p w:rsidR="008B096F" w:rsidP="00A6127C">
      <w:pPr>
        <w:pStyle w:val="ListBullet2"/>
      </w:pPr>
    </w:p>
    <w:p w:rsidR="00000000" w:rsidRPr="00A6127C" w:rsidP="00A6127C">
      <w:pPr>
        <w:pStyle w:val="Heading1"/>
      </w:pPr>
      <w:bookmarkStart w:id="3" w:name="O_1014298"/>
      <w:bookmarkEnd w:id="3"/>
      <w:r w:rsidRPr="00A6127C">
        <w:t>Knowledge Evidence</w:t>
      </w:r>
    </w:p>
    <w:p w:rsidR="00000000" w:rsidRPr="00A6127C" w:rsidP="008B096F">
      <w:pPr>
        <w:pStyle w:val="BodyText"/>
      </w:pPr>
      <w:r w:rsidRPr="00A6127C">
        <w:t>There must be evidence the candidate has knowledge of:</w:t>
      </w:r>
    </w:p>
    <w:p w:rsidR="00000000" w:rsidRPr="00A6127C" w:rsidP="00A6127C">
      <w:pPr>
        <w:pStyle w:val="ListBullet"/>
      </w:pPr>
      <w:r w:rsidRPr="00A6127C">
        <w:t xml:space="preserve">key aspects of state or territory legislation, regulations, standards and codes of practice, </w:t>
      </w:r>
      <w:r w:rsidRPr="00A6127C">
        <w:t>including individual technician rights and obligations relating to:</w:t>
      </w:r>
    </w:p>
    <w:p w:rsidR="00000000" w:rsidRPr="00A6127C" w:rsidP="00A6127C">
      <w:pPr>
        <w:pStyle w:val="ListBullet2"/>
      </w:pPr>
      <w:r w:rsidRPr="00A6127C">
        <w:t>workplace health and safety</w:t>
      </w:r>
    </w:p>
    <w:p w:rsidR="00000000" w:rsidRPr="00A6127C" w:rsidP="00A6127C">
      <w:pPr>
        <w:pStyle w:val="ListBullet2"/>
      </w:pPr>
      <w:r w:rsidRPr="00A6127C">
        <w:t>consumer law</w:t>
      </w:r>
    </w:p>
    <w:p w:rsidR="00000000" w:rsidRPr="00A6127C" w:rsidP="00A6127C">
      <w:pPr>
        <w:pStyle w:val="ListBullet2"/>
      </w:pPr>
      <w:r w:rsidRPr="00A6127C">
        <w:t>environmental protection and sustainable use of materials</w:t>
      </w:r>
    </w:p>
    <w:p w:rsidR="00000000" w:rsidRPr="00A6127C" w:rsidP="00A6127C">
      <w:pPr>
        <w:pStyle w:val="ListBullet"/>
      </w:pPr>
      <w:r w:rsidRPr="00A6127C">
        <w:t>how to access supplier instructions</w:t>
      </w:r>
    </w:p>
    <w:p w:rsidR="00000000" w:rsidRPr="00A6127C" w:rsidP="00A6127C">
      <w:pPr>
        <w:pStyle w:val="ListBullet"/>
      </w:pPr>
      <w:r w:rsidRPr="00A6127C">
        <w:t>types, characteristics, uses and limitations of hig</w:t>
      </w:r>
      <w:r w:rsidRPr="00A6127C">
        <w:t>h-build decorative flooring systems</w:t>
      </w:r>
    </w:p>
    <w:p w:rsidR="00000000" w:rsidRPr="00A6127C" w:rsidP="00A6127C">
      <w:pPr>
        <w:pStyle w:val="ListBullet"/>
      </w:pPr>
      <w:r w:rsidRPr="00A6127C">
        <w:t>mathematical procedures for estimation and measurement, including calculation of area and use of ratios for mixing</w:t>
      </w:r>
    </w:p>
    <w:p w:rsidR="00000000" w:rsidRPr="00A6127C" w:rsidP="00A6127C">
      <w:pPr>
        <w:pStyle w:val="ListBullet"/>
      </w:pPr>
      <w:r w:rsidRPr="00A6127C">
        <w:t>types, uses and limitations of tools and equipment used in high-build decorative applications</w:t>
      </w:r>
    </w:p>
    <w:p w:rsidR="00000000" w:rsidRPr="00A6127C" w:rsidP="00A6127C">
      <w:pPr>
        <w:pStyle w:val="ListBullet"/>
      </w:pPr>
      <w:r w:rsidRPr="00A6127C">
        <w:t>characteris</w:t>
      </w:r>
      <w:r w:rsidRPr="00A6127C">
        <w:t>tics and requirements of suitable substrate preparation, including different methods and products used to profile, repair, prime and clean</w:t>
      </w:r>
    </w:p>
    <w:p w:rsidR="00000000" w:rsidRPr="00A6127C" w:rsidP="00A6127C">
      <w:pPr>
        <w:pStyle w:val="ListBullet"/>
      </w:pPr>
      <w:r w:rsidRPr="00A6127C">
        <w:t>the features and layout of an effective mixing area</w:t>
      </w:r>
    </w:p>
    <w:p w:rsidR="00000000" w:rsidRPr="00A6127C" w:rsidP="00A6127C">
      <w:pPr>
        <w:pStyle w:val="ListBullet"/>
      </w:pPr>
      <w:r w:rsidRPr="00A6127C">
        <w:t>taping techniques to protect surfaces that aren’t to be coated, i</w:t>
      </w:r>
      <w:r w:rsidRPr="00A6127C">
        <w:t>ncluding walls, edges, transitions and boundaries on the floor</w:t>
      </w:r>
    </w:p>
    <w:p w:rsidR="00000000" w:rsidRPr="00A6127C" w:rsidP="00A6127C">
      <w:pPr>
        <w:pStyle w:val="ListBullet"/>
      </w:pPr>
      <w:r w:rsidRPr="00A6127C">
        <w:t>personal protective equipment (PPE) and correct usage</w:t>
      </w:r>
    </w:p>
    <w:p w:rsidR="00000000" w:rsidRPr="00A6127C" w:rsidP="00A6127C">
      <w:pPr>
        <w:pStyle w:val="ListBullet"/>
      </w:pPr>
      <w:r w:rsidRPr="00A6127C">
        <w:t>techniques for the following, the types of problems that may occur and how to avoid and respond:</w:t>
      </w:r>
    </w:p>
    <w:p w:rsidR="00000000" w:rsidRPr="00A6127C" w:rsidP="00A6127C">
      <w:pPr>
        <w:pStyle w:val="ListBullet2"/>
      </w:pPr>
      <w:r w:rsidRPr="00A6127C">
        <w:t>measuring out and mixing high-build flooring systems, including pigment, fillers and stir-in additives</w:t>
      </w:r>
    </w:p>
    <w:p w:rsidR="00000000" w:rsidRPr="00A6127C" w:rsidP="00A6127C">
      <w:pPr>
        <w:pStyle w:val="ListBullet2"/>
      </w:pPr>
      <w:r w:rsidRPr="00A6127C">
        <w:t xml:space="preserve">applying high-build decorative flooring systems, including cutting in, brushing, spreading with a squeegee, rolling and pigment blending/manipulation </w:t>
      </w:r>
    </w:p>
    <w:p w:rsidR="00000000" w:rsidRPr="00A6127C" w:rsidP="00A6127C">
      <w:pPr>
        <w:pStyle w:val="ListBullet"/>
      </w:pPr>
      <w:r w:rsidRPr="00A6127C">
        <w:t>c</w:t>
      </w:r>
      <w:r w:rsidRPr="00A6127C">
        <w:t>haracteristics and requirements of suitable preparation between coats</w:t>
      </w:r>
    </w:p>
    <w:p w:rsidR="00000000" w:rsidRPr="00A6127C" w:rsidP="00A6127C">
      <w:pPr>
        <w:pStyle w:val="ListBullet"/>
      </w:pPr>
      <w:r w:rsidRPr="00A6127C">
        <w:t>quality indicators for finished flooring system</w:t>
      </w:r>
    </w:p>
    <w:p w:rsidR="00000000" w:rsidRPr="00A6127C" w:rsidP="00A6127C">
      <w:pPr>
        <w:pStyle w:val="ListBullet"/>
      </w:pPr>
      <w:r w:rsidRPr="00A6127C">
        <w:t>cleaning and storage procedures for PPE, tools, equipment and unused materials</w:t>
      </w:r>
    </w:p>
    <w:p w:rsidR="00000000" w:rsidRPr="00A6127C" w:rsidP="00A6127C">
      <w:pPr>
        <w:pStyle w:val="ListBullet"/>
      </w:pPr>
      <w:r w:rsidRPr="00A6127C">
        <w:t>disposal procedures for waste materials</w:t>
      </w:r>
    </w:p>
    <w:p w:rsidR="008B096F" w:rsidP="00A6127C">
      <w:pPr>
        <w:pStyle w:val="ListBullet"/>
      </w:pPr>
      <w:r w:rsidRPr="00A6127C">
        <w:t>requirements and pr</w:t>
      </w:r>
      <w:r w:rsidRPr="00A6127C">
        <w:t>otocols for recording, reporting and maintaining workplace records and information.</w:t>
      </w:r>
    </w:p>
    <w:p w:rsidR="008B096F" w:rsidP="00A6127C">
      <w:pPr>
        <w:pStyle w:val="ListBullet"/>
      </w:pPr>
    </w:p>
    <w:p w:rsidR="00000000" w:rsidRPr="00A6127C" w:rsidP="00A6127C">
      <w:pPr>
        <w:pStyle w:val="Heading1"/>
      </w:pPr>
      <w:bookmarkStart w:id="4" w:name="O_1014297"/>
      <w:bookmarkEnd w:id="4"/>
      <w:r w:rsidRPr="00A6127C">
        <w:t>Assessment Conditions</w:t>
      </w:r>
    </w:p>
    <w:p w:rsidR="00000000" w:rsidRPr="00A6127C" w:rsidP="008B096F">
      <w:pPr>
        <w:pStyle w:val="BodyText"/>
      </w:pPr>
      <w:r w:rsidRPr="00A6127C">
        <w:t>The following aspects of the Performance Evidence must have been demonstrated and directly observed by the assessor in the workpla</w:t>
      </w:r>
      <w:r w:rsidRPr="00A6127C">
        <w:t>ce or in a simulated environment that reflects workplace conditions and contingencies:</w:t>
      </w:r>
    </w:p>
    <w:p w:rsidR="00000000" w:rsidRPr="00A6127C" w:rsidP="00A6127C">
      <w:pPr>
        <w:pStyle w:val="ListBullet"/>
      </w:pPr>
      <w:r w:rsidRPr="00A6127C">
        <w:t>application of high-build decorative resin flooring system to an area of at least 10m</w:t>
      </w:r>
      <w:r w:rsidRPr="00A6127C">
        <w:rPr>
          <w:rStyle w:val="Monospace"/>
        </w:rPr>
        <w:t>2</w:t>
      </w:r>
      <w:r w:rsidRPr="00A6127C">
        <w:t>.</w:t>
      </w:r>
    </w:p>
    <w:p w:rsidR="00000000" w:rsidRPr="00A6127C" w:rsidP="008B096F">
      <w:pPr>
        <w:pStyle w:val="BodyText"/>
      </w:pPr>
      <w:r w:rsidRPr="00A6127C">
        <w:t>Remaining aspects of the Performance Evidence may be demonstrated in the workpla</w:t>
      </w:r>
      <w:r w:rsidRPr="00A6127C">
        <w:t>ce or in a simulated environment that reflects workplace conditions and contingencies but there is no requirement for direct observation by the assessor.</w:t>
      </w:r>
    </w:p>
    <w:p w:rsidR="00000000" w:rsidRPr="00A6127C" w:rsidP="008B096F">
      <w:pPr>
        <w:pStyle w:val="BodyText"/>
      </w:pPr>
      <w:r w:rsidRPr="00A6127C">
        <w:t xml:space="preserve">The following conditions must be met for this unit: </w:t>
      </w:r>
    </w:p>
    <w:p w:rsidR="00000000" w:rsidRPr="00A6127C" w:rsidP="00A6127C">
      <w:pPr>
        <w:pStyle w:val="ListBullet"/>
      </w:pPr>
      <w:r w:rsidRPr="00A6127C">
        <w:t xml:space="preserve">use of suitable facilities, equipment and resources, including: </w:t>
      </w:r>
    </w:p>
    <w:p w:rsidR="00000000" w:rsidRPr="00A6127C" w:rsidP="00A6127C">
      <w:pPr>
        <w:pStyle w:val="ListBullet2"/>
      </w:pPr>
      <w:r w:rsidRPr="00A6127C">
        <w:t>locations requiring high-build decorative flooring applications</w:t>
      </w:r>
    </w:p>
    <w:p w:rsidR="00000000" w:rsidRPr="00A6127C" w:rsidP="00A6127C">
      <w:pPr>
        <w:pStyle w:val="ListBullet2"/>
      </w:pPr>
      <w:r w:rsidRPr="00A6127C">
        <w:t>work orders</w:t>
      </w:r>
    </w:p>
    <w:p w:rsidR="00000000" w:rsidRPr="00A6127C" w:rsidP="00A6127C">
      <w:pPr>
        <w:pStyle w:val="ListBullet2"/>
      </w:pPr>
      <w:r w:rsidRPr="00A6127C">
        <w:t>tools and equipment to complete tasks in the Performance Evidence, including safety and personal protective equipm</w:t>
      </w:r>
      <w:r w:rsidRPr="00A6127C">
        <w:t>ent</w:t>
      </w:r>
    </w:p>
    <w:p w:rsidR="00000000" w:rsidRPr="00A6127C" w:rsidP="00A6127C">
      <w:pPr>
        <w:pStyle w:val="ListBullet2"/>
      </w:pPr>
      <w:r w:rsidRPr="00A6127C">
        <w:t>workplace procedures.</w:t>
      </w:r>
    </w:p>
    <w:p w:rsidR="00000000" w:rsidRPr="00A6127C" w:rsidP="008B096F">
      <w:pPr>
        <w:pStyle w:val="BodyText"/>
      </w:pPr>
      <w:r w:rsidRPr="00A6127C">
        <w:t>The assessor must directly observe the mixing and application of the flooring system to a complete area of at least 10m</w:t>
      </w:r>
      <w:r w:rsidRPr="00A6127C">
        <w:rPr>
          <w:rStyle w:val="Monospace"/>
        </w:rPr>
        <w:t>2</w:t>
      </w:r>
      <w:r w:rsidRPr="00A6127C">
        <w:t xml:space="preserve">. </w:t>
      </w:r>
    </w:p>
    <w:p w:rsidR="008B096F" w:rsidP="008B096F">
      <w:pPr>
        <w:pStyle w:val="BodyText"/>
      </w:pPr>
      <w:r w:rsidRPr="00A6127C">
        <w:t>Assessors must satisfy the NVR/AQTF mandatory competency requirements for assessors.</w:t>
      </w:r>
    </w:p>
    <w:p w:rsidR="00000000" w:rsidRPr="00A6127C" w:rsidP="00A6127C">
      <w:pPr>
        <w:pStyle w:val="Heading1"/>
      </w:pPr>
      <w:bookmarkStart w:id="5" w:name="O_1014295"/>
      <w:bookmarkEnd w:id="5"/>
      <w:r w:rsidRPr="00A6127C">
        <w:t>Li</w:t>
      </w:r>
      <w:r w:rsidRPr="00A6127C">
        <w:t>nks</w:t>
      </w:r>
    </w:p>
    <w:p w:rsidR="00000000" w:rsidRPr="00A6127C" w:rsidP="008B096F">
      <w:pPr>
        <w:pStyle w:val="BodyText"/>
      </w:pPr>
      <w:r w:rsidRPr="00A612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01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127C" w:rsidP="00A6127C"/>
    <w:sectPr w:rsidSect="00A61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7C" w:rsidRPr="008B096F" w:rsidP="008B09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F" w:rsidP="00A61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96F" w:rsidP="00A61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B096F" w:rsidP="00A61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27C" w:rsidRPr="008B096F" w:rsidP="008B09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96F" w:rsidRPr="002D2AF8" w:rsidP="00A61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MSFFL3076 Mix and apply high-build decorative resin flooring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B096F" w:rsidP="00A61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24B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CEB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45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27C"/>
  </w:style>
  <w:style w:type="character" w:customStyle="1" w:styleId="Heading1Char">
    <w:name w:val="Heading 1 Char"/>
    <w:basedOn w:val="DefaultParagraphFont"/>
    <w:link w:val="Heading1"/>
    <w:rsid w:val="00A61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2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12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A6127C"/>
    <w:rPr>
      <w:rFonts w:ascii="Courier New" w:hAnsi="Courier New"/>
    </w:rPr>
  </w:style>
  <w:style w:type="character" w:customStyle="1" w:styleId="Superscript">
    <w:name w:val="Superscript"/>
    <w:basedOn w:val="DefaultParagraphFont"/>
    <w:rsid w:val="00A6127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A61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27C"/>
    <w:rPr>
      <w:b/>
      <w:spacing w:val="0"/>
    </w:rPr>
  </w:style>
  <w:style w:type="paragraph" w:customStyle="1" w:styleId="SuperTitle">
    <w:name w:val="SuperTitle"/>
    <w:basedOn w:val="Title"/>
    <w:rsid w:val="00A61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27C"/>
    <w:rPr>
      <w:i/>
    </w:rPr>
  </w:style>
  <w:style w:type="paragraph" w:styleId="Caption">
    <w:name w:val="caption"/>
    <w:basedOn w:val="BodyText"/>
    <w:next w:val="Normal"/>
    <w:qFormat/>
    <w:rsid w:val="00A61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27C"/>
  </w:style>
  <w:style w:type="paragraph" w:styleId="TableofFigures">
    <w:name w:val="table of figures"/>
    <w:basedOn w:val="Normal"/>
    <w:next w:val="Normal"/>
    <w:semiHidden/>
    <w:rsid w:val="00A61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2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27C"/>
    <w:rPr>
      <w:rFonts w:ascii="Wingdings" w:hAnsi="Wingdings"/>
    </w:rPr>
  </w:style>
  <w:style w:type="paragraph" w:customStyle="1" w:styleId="TableHeading">
    <w:name w:val="Table Heading"/>
    <w:basedOn w:val="HeadingBase"/>
    <w:rsid w:val="00A61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27C"/>
    <w:rPr>
      <w:color w:val="0033CC"/>
      <w:u w:val="none"/>
    </w:rPr>
  </w:style>
  <w:style w:type="paragraph" w:customStyle="1" w:styleId="BodyTextRight">
    <w:name w:val="Body Text Right"/>
    <w:basedOn w:val="BodyText"/>
    <w:rsid w:val="00A61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2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27C"/>
    <w:rPr>
      <w:sz w:val="32"/>
    </w:rPr>
  </w:style>
  <w:style w:type="paragraph" w:customStyle="1" w:styleId="HeadingProcedure">
    <w:name w:val="Heading Procedure"/>
    <w:basedOn w:val="HeadingBase"/>
    <w:next w:val="Normal"/>
    <w:rsid w:val="00A61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27C"/>
    <w:pPr>
      <w:spacing w:before="60" w:after="60"/>
    </w:pPr>
  </w:style>
  <w:style w:type="paragraph" w:styleId="ListContinue">
    <w:name w:val="List Continue"/>
    <w:basedOn w:val="List"/>
    <w:rsid w:val="00A6127C"/>
    <w:pPr>
      <w:ind w:firstLine="0"/>
    </w:pPr>
  </w:style>
  <w:style w:type="paragraph" w:customStyle="1" w:styleId="ListNote">
    <w:name w:val="List Note"/>
    <w:basedOn w:val="List"/>
    <w:rsid w:val="00A61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A61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2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27C"/>
    <w:rPr>
      <w:b/>
      <w:smallCaps/>
    </w:rPr>
  </w:style>
  <w:style w:type="paragraph" w:customStyle="1" w:styleId="TableListNumber">
    <w:name w:val="Table List Number"/>
    <w:basedOn w:val="ListNumber"/>
    <w:rsid w:val="00A61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27C"/>
    <w:pPr>
      <w:numPr>
        <w:numId w:val="9"/>
      </w:numPr>
    </w:pPr>
  </w:style>
  <w:style w:type="paragraph" w:customStyle="1" w:styleId="ListAlpha2">
    <w:name w:val="List Alpha 2"/>
    <w:basedOn w:val="List2"/>
    <w:rsid w:val="00A6127C"/>
    <w:pPr>
      <w:numPr>
        <w:numId w:val="8"/>
      </w:numPr>
    </w:pPr>
  </w:style>
  <w:style w:type="paragraph" w:styleId="List2">
    <w:name w:val="List 2"/>
    <w:basedOn w:val="BodyText"/>
    <w:rsid w:val="00A61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2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2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27C"/>
    <w:pPr>
      <w:numPr>
        <w:numId w:val="4"/>
      </w:numPr>
    </w:pPr>
  </w:style>
  <w:style w:type="paragraph" w:styleId="ListContinue2">
    <w:name w:val="List Continue 2"/>
    <w:basedOn w:val="List2"/>
    <w:rsid w:val="00A6127C"/>
    <w:pPr>
      <w:ind w:firstLine="0"/>
    </w:pPr>
  </w:style>
  <w:style w:type="paragraph" w:styleId="ListContinue3">
    <w:name w:val="List Continue 3"/>
    <w:basedOn w:val="List3"/>
    <w:rsid w:val="00A6127C"/>
    <w:pPr>
      <w:ind w:left="1021" w:firstLine="0"/>
    </w:pPr>
  </w:style>
  <w:style w:type="paragraph" w:styleId="ListContinue4">
    <w:name w:val="List Continue 4"/>
    <w:basedOn w:val="List4"/>
    <w:rsid w:val="00A6127C"/>
    <w:pPr>
      <w:ind w:firstLine="0"/>
    </w:pPr>
  </w:style>
  <w:style w:type="paragraph" w:styleId="ListContinue5">
    <w:name w:val="List Continue 5"/>
    <w:basedOn w:val="List5"/>
    <w:rsid w:val="00A6127C"/>
    <w:pPr>
      <w:ind w:firstLine="0"/>
    </w:pPr>
  </w:style>
  <w:style w:type="paragraph" w:styleId="ListNumber3">
    <w:name w:val="List Number 3"/>
    <w:basedOn w:val="List3"/>
    <w:rsid w:val="00A6127C"/>
    <w:pPr>
      <w:numPr>
        <w:numId w:val="5"/>
      </w:numPr>
    </w:pPr>
  </w:style>
  <w:style w:type="paragraph" w:styleId="ListNumber4">
    <w:name w:val="List Number 4"/>
    <w:basedOn w:val="List4"/>
    <w:rsid w:val="00A6127C"/>
    <w:pPr>
      <w:numPr>
        <w:numId w:val="6"/>
      </w:numPr>
    </w:pPr>
  </w:style>
  <w:style w:type="paragraph" w:styleId="ListNumber5">
    <w:name w:val="List Number 5"/>
    <w:basedOn w:val="List5"/>
    <w:rsid w:val="00A6127C"/>
    <w:pPr>
      <w:numPr>
        <w:numId w:val="7"/>
      </w:numPr>
    </w:pPr>
  </w:style>
  <w:style w:type="paragraph" w:styleId="BlockText">
    <w:name w:val="Block Text"/>
    <w:basedOn w:val="Normal"/>
    <w:rsid w:val="00A61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27C"/>
    <w:rPr>
      <w:sz w:val="16"/>
      <w:vertAlign w:val="subscript"/>
    </w:rPr>
  </w:style>
  <w:style w:type="character" w:customStyle="1" w:styleId="Symbols">
    <w:name w:val="Symbols"/>
    <w:basedOn w:val="DefaultParagraphFont"/>
    <w:rsid w:val="00A6127C"/>
    <w:rPr>
      <w:rFonts w:ascii="Symbol" w:hAnsi="Symbol"/>
    </w:rPr>
  </w:style>
  <w:style w:type="character" w:customStyle="1" w:styleId="MenuOptions">
    <w:name w:val="Menu Options"/>
    <w:basedOn w:val="DefaultParagraphFont"/>
    <w:rsid w:val="00A61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27C"/>
    <w:rPr>
      <w:b/>
    </w:rPr>
  </w:style>
  <w:style w:type="character" w:customStyle="1" w:styleId="Underlined">
    <w:name w:val="Underlined"/>
    <w:basedOn w:val="DefaultParagraphFont"/>
    <w:rsid w:val="00A6127C"/>
    <w:rPr>
      <w:u w:val="single"/>
    </w:rPr>
  </w:style>
  <w:style w:type="paragraph" w:customStyle="1" w:styleId="TableBodyTextRight">
    <w:name w:val="Table Body Text Right"/>
    <w:basedOn w:val="TableBodyText"/>
    <w:rsid w:val="00A61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27C"/>
    <w:rPr>
      <w:sz w:val="18"/>
    </w:rPr>
  </w:style>
  <w:style w:type="paragraph" w:customStyle="1" w:styleId="BodySmallRight">
    <w:name w:val="Body Small Right"/>
    <w:basedOn w:val="BodyTextRight"/>
    <w:rsid w:val="00A6127C"/>
    <w:rPr>
      <w:sz w:val="18"/>
      <w:szCs w:val="18"/>
    </w:rPr>
  </w:style>
  <w:style w:type="paragraph" w:customStyle="1" w:styleId="MarginEdition">
    <w:name w:val="Margin Edition"/>
    <w:basedOn w:val="MarginNote"/>
    <w:rsid w:val="00A61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27C"/>
    <w:rPr>
      <w:sz w:val="2"/>
      <w:szCs w:val="2"/>
    </w:rPr>
  </w:style>
  <w:style w:type="character" w:customStyle="1" w:styleId="Small">
    <w:name w:val="Small"/>
    <w:basedOn w:val="DefaultParagraphFont"/>
    <w:rsid w:val="00A6127C"/>
    <w:rPr>
      <w:sz w:val="16"/>
    </w:rPr>
  </w:style>
  <w:style w:type="paragraph" w:customStyle="1" w:styleId="WideTable">
    <w:name w:val="Wide Table"/>
    <w:basedOn w:val="Normal"/>
    <w:rsid w:val="00A61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27C"/>
  </w:style>
  <w:style w:type="paragraph" w:styleId="Quote">
    <w:name w:val="Quote"/>
    <w:basedOn w:val="Heading1"/>
    <w:link w:val="QuoteChar"/>
    <w:qFormat/>
    <w:rsid w:val="00A61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27C"/>
    <w:pPr>
      <w:pageBreakBefore/>
    </w:pPr>
  </w:style>
  <w:style w:type="paragraph" w:customStyle="1" w:styleId="Border">
    <w:name w:val="Border"/>
    <w:basedOn w:val="Normal"/>
    <w:qFormat/>
    <w:rsid w:val="00A61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27C"/>
    <w:rPr>
      <w:u w:val="single"/>
    </w:rPr>
  </w:style>
  <w:style w:type="character" w:customStyle="1" w:styleId="BoldandItalics">
    <w:name w:val="Bold and Italics"/>
    <w:qFormat/>
    <w:rsid w:val="00A6127C"/>
    <w:rPr>
      <w:b/>
      <w:i/>
      <w:u w:val="none"/>
    </w:rPr>
  </w:style>
  <w:style w:type="paragraph" w:styleId="BalloonText">
    <w:name w:val="Balloon Text"/>
    <w:basedOn w:val="Normal"/>
    <w:link w:val="BalloonTextChar"/>
    <w:rsid w:val="00A6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27C"/>
    <w:pPr>
      <w:spacing w:before="0" w:after="0"/>
    </w:pPr>
  </w:style>
  <w:style w:type="paragraph" w:customStyle="1" w:styleId="BodyTextBold">
    <w:name w:val="Body Text Bold"/>
    <w:basedOn w:val="BodyText"/>
    <w:qFormat/>
    <w:rsid w:val="00A6127C"/>
    <w:rPr>
      <w:b/>
    </w:rPr>
  </w:style>
  <w:style w:type="character" w:styleId="Hyperlink">
    <w:name w:val="Hyperlink"/>
    <w:basedOn w:val="DefaultParagraphFont"/>
    <w:uiPriority w:val="99"/>
    <w:unhideWhenUsed/>
    <w:rsid w:val="008B09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3254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MSFFL3076 Mix and apply high-build decorative resin flooring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