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43C2" w:rsidP="00F843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MSFFL3070 Install resilient sheet to walls</w:t>
      </w:r>
      <w:r>
        <w:fldChar w:fldCharType="end"/>
      </w:r>
    </w:p>
    <w:p w:rsidR="00F843C2" w:rsidP="00F843C2">
      <w:pPr>
        <w:pStyle w:val="Version"/>
        <w:sectPr w:rsidSect="009811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811DC" w:rsidP="009811DC">
      <w:pPr>
        <w:pStyle w:val="SuperHeading"/>
      </w:pPr>
      <w:r w:rsidRPr="009811DC">
        <w:t>Assessment Requirements for MSFFL3070 Install resilient sheet to walls</w:t>
      </w:r>
    </w:p>
    <w:p w:rsidR="00000000" w:rsidRPr="009811DC" w:rsidP="009811DC">
      <w:pPr>
        <w:pStyle w:val="Heading1"/>
      </w:pPr>
      <w:bookmarkStart w:id="1" w:name="O_1011144"/>
      <w:bookmarkEnd w:id="1"/>
      <w:r w:rsidRPr="009811DC">
        <w:t>Modification History</w:t>
      </w:r>
    </w:p>
    <w:p w:rsidR="00F843C2" w:rsidP="00F843C2">
      <w:pPr>
        <w:pStyle w:val="BodyText"/>
      </w:pPr>
      <w:r w:rsidRPr="009811DC">
        <w:t>Release 1. Supersedes and is not equivalent to MSFFL2010 Prepare walls for coverings, and, MSFFL3017 Install resilient sheet to walls.</w:t>
      </w:r>
    </w:p>
    <w:p w:rsidR="00000000" w:rsidRPr="009811DC" w:rsidP="009811DC">
      <w:pPr>
        <w:pStyle w:val="Heading1"/>
      </w:pPr>
      <w:bookmarkStart w:id="2" w:name="O_1011147"/>
      <w:bookmarkEnd w:id="2"/>
      <w:r w:rsidRPr="009811DC">
        <w:t>Performance Evidence</w:t>
      </w:r>
    </w:p>
    <w:p w:rsidR="00000000" w:rsidRPr="009811DC" w:rsidP="00F843C2">
      <w:pPr>
        <w:pStyle w:val="BodyText"/>
      </w:pPr>
      <w:r w:rsidRPr="009811DC">
        <w:t xml:space="preserve">There must be evidence the candidate has completed the tasks outlined in the elements and performance criteria of this unit, and: </w:t>
      </w:r>
    </w:p>
    <w:p w:rsidR="00000000" w:rsidRPr="009811DC" w:rsidP="009811DC">
      <w:pPr>
        <w:pStyle w:val="ListBullet"/>
      </w:pPr>
      <w:r w:rsidRPr="009811DC">
        <w:t>completed the following in accordance with job requirements:</w:t>
      </w:r>
    </w:p>
    <w:p w:rsidR="00000000" w:rsidRPr="009811DC" w:rsidP="009811DC">
      <w:pPr>
        <w:pStyle w:val="ListBullet2"/>
      </w:pPr>
      <w:r w:rsidRPr="009811DC">
        <w:t>1 patch and repair to a</w:t>
      </w:r>
      <w:r w:rsidRPr="009811DC">
        <w:t xml:space="preserve"> wall, including internal and external corners </w:t>
      </w:r>
    </w:p>
    <w:p w:rsidR="00000000" w:rsidRPr="009811DC" w:rsidP="009811DC">
      <w:pPr>
        <w:pStyle w:val="ListBullet2"/>
      </w:pPr>
      <w:r w:rsidRPr="009811DC">
        <w:t xml:space="preserve">1 skim coat to walls, including internal and external corners </w:t>
      </w:r>
    </w:p>
    <w:p w:rsidR="00000000" w:rsidRPr="009811DC" w:rsidP="009811DC">
      <w:pPr>
        <w:pStyle w:val="ListBullet2"/>
      </w:pPr>
      <w:r w:rsidRPr="009811DC">
        <w:t>1 installation of a wet room resilient wall covering using a horizontal installation system with heat-welded joins, including internal and extern</w:t>
      </w:r>
      <w:r w:rsidRPr="009811DC">
        <w:t>al corners to walls, the covering of window reveals, and sealing to door frames and fittings</w:t>
      </w:r>
    </w:p>
    <w:p w:rsidR="00000000" w:rsidRPr="009811DC" w:rsidP="009811DC">
      <w:pPr>
        <w:pStyle w:val="ListBullet2"/>
      </w:pPr>
      <w:r w:rsidRPr="009811DC">
        <w:t>1 installation of a wet room resilient wall covering using a vertical installation system with heat-welded joins, including internal and external corners to walls,</w:t>
      </w:r>
      <w:r w:rsidRPr="009811DC">
        <w:t xml:space="preserve"> the covering of window reveals and sealing to door frames and fittings</w:t>
      </w:r>
    </w:p>
    <w:p w:rsidR="00000000" w:rsidRPr="009811DC" w:rsidP="009811DC">
      <w:pPr>
        <w:pStyle w:val="ListBullet2"/>
      </w:pPr>
      <w:r w:rsidRPr="009811DC">
        <w:t>1 installation of resilient tile and/or planks to walls.</w:t>
      </w:r>
    </w:p>
    <w:p w:rsidR="00000000" w:rsidRPr="009811DC" w:rsidP="009811DC">
      <w:pPr>
        <w:pStyle w:val="AllowPageBreak"/>
      </w:pPr>
    </w:p>
    <w:p w:rsidR="00000000" w:rsidRPr="009811DC" w:rsidP="009811DC">
      <w:pPr>
        <w:pStyle w:val="Heading1"/>
      </w:pPr>
      <w:bookmarkStart w:id="3" w:name="O_1011146"/>
      <w:bookmarkEnd w:id="3"/>
      <w:r w:rsidRPr="009811DC">
        <w:t>Knowledge Evidence</w:t>
      </w:r>
    </w:p>
    <w:p w:rsidR="00000000" w:rsidRPr="009811DC" w:rsidP="00F843C2">
      <w:pPr>
        <w:pStyle w:val="BodyText"/>
      </w:pPr>
      <w:r w:rsidRPr="009811DC">
        <w:t>There must be evidence the candidate has knowledge of:</w:t>
      </w:r>
    </w:p>
    <w:p w:rsidR="00000000" w:rsidRPr="009811DC" w:rsidP="009811DC">
      <w:pPr>
        <w:pStyle w:val="ListBullet"/>
      </w:pPr>
      <w:r w:rsidRPr="009811DC">
        <w:t>mathematical procedures for estimation and measurement, including calculation of area and estimation of material requirements</w:t>
      </w:r>
    </w:p>
    <w:p w:rsidR="00000000" w:rsidRPr="009811DC" w:rsidP="009811DC">
      <w:pPr>
        <w:pStyle w:val="ListBullet"/>
      </w:pPr>
      <w:r w:rsidRPr="009811DC">
        <w:t>resilient wall covering installation:</w:t>
      </w:r>
    </w:p>
    <w:p w:rsidR="00000000" w:rsidRPr="009811DC" w:rsidP="009811DC">
      <w:pPr>
        <w:pStyle w:val="ListBullet2"/>
      </w:pPr>
      <w:r w:rsidRPr="009811DC">
        <w:t>Australian Standards requirements</w:t>
      </w:r>
    </w:p>
    <w:p w:rsidR="00000000" w:rsidRPr="009811DC" w:rsidP="009811DC">
      <w:pPr>
        <w:pStyle w:val="ListBullet2"/>
      </w:pPr>
      <w:r w:rsidRPr="009811DC">
        <w:t xml:space="preserve">workplace safety system requirements </w:t>
      </w:r>
    </w:p>
    <w:p w:rsidR="00000000" w:rsidRPr="009811DC" w:rsidP="009811DC">
      <w:pPr>
        <w:pStyle w:val="ListBullet2"/>
      </w:pPr>
      <w:r w:rsidRPr="009811DC">
        <w:t>environmental prote</w:t>
      </w:r>
      <w:r w:rsidRPr="009811DC">
        <w:t xml:space="preserve">ction and sustainability requirements </w:t>
      </w:r>
    </w:p>
    <w:p w:rsidR="00000000" w:rsidRPr="009811DC" w:rsidP="009811DC">
      <w:pPr>
        <w:pStyle w:val="ListBullet2"/>
      </w:pPr>
      <w:r w:rsidRPr="009811DC">
        <w:t>how to access manufacturer  instructions</w:t>
      </w:r>
    </w:p>
    <w:p w:rsidR="00000000" w:rsidRPr="009811DC" w:rsidP="009811DC">
      <w:pPr>
        <w:pStyle w:val="ListBullet2"/>
      </w:pPr>
      <w:r w:rsidRPr="009811DC">
        <w:t>work flow</w:t>
      </w:r>
    </w:p>
    <w:p w:rsidR="00000000" w:rsidRPr="009811DC" w:rsidP="009811DC">
      <w:pPr>
        <w:pStyle w:val="ListBullet2"/>
      </w:pPr>
      <w:r w:rsidRPr="009811DC">
        <w:t xml:space="preserve">types, characteristics, uses and limitations of resilient wall coverings: </w:t>
      </w:r>
    </w:p>
    <w:p w:rsidR="00000000" w:rsidRPr="009811DC" w:rsidP="009811DC">
      <w:pPr>
        <w:pStyle w:val="ListBullet3"/>
      </w:pPr>
      <w:r w:rsidRPr="009811DC">
        <w:t>encapsulated glass fibre</w:t>
      </w:r>
    </w:p>
    <w:p w:rsidR="00000000" w:rsidRPr="009811DC" w:rsidP="009811DC">
      <w:pPr>
        <w:pStyle w:val="ListBullet3"/>
      </w:pPr>
      <w:r w:rsidRPr="009811DC">
        <w:t>homogeneous and heterogeneous</w:t>
      </w:r>
    </w:p>
    <w:p w:rsidR="00000000" w:rsidRPr="009811DC" w:rsidP="009811DC">
      <w:pPr>
        <w:pStyle w:val="ListBullet3"/>
      </w:pPr>
      <w:r w:rsidRPr="009811DC">
        <w:t>linoleum sheet</w:t>
      </w:r>
    </w:p>
    <w:p w:rsidR="00000000" w:rsidRPr="009811DC" w:rsidP="009811DC">
      <w:pPr>
        <w:pStyle w:val="ListBullet2"/>
      </w:pPr>
      <w:r w:rsidRPr="009811DC">
        <w:t>characteristics and techniques for substrate preparation for wall coverings, including for:</w:t>
      </w:r>
    </w:p>
    <w:p w:rsidR="00000000" w:rsidRPr="009811DC" w:rsidP="009811DC">
      <w:pPr>
        <w:pStyle w:val="ListBullet3"/>
      </w:pPr>
      <w:r w:rsidRPr="009811DC">
        <w:t xml:space="preserve">concrete </w:t>
      </w:r>
    </w:p>
    <w:p w:rsidR="00000000" w:rsidRPr="009811DC" w:rsidP="009811DC">
      <w:pPr>
        <w:pStyle w:val="ListBullet3"/>
      </w:pPr>
      <w:r w:rsidRPr="009811DC">
        <w:t xml:space="preserve">cement rendered </w:t>
      </w:r>
    </w:p>
    <w:p w:rsidR="00000000" w:rsidRPr="009811DC" w:rsidP="009811DC">
      <w:pPr>
        <w:pStyle w:val="ListBullet3"/>
      </w:pPr>
      <w:r w:rsidRPr="009811DC">
        <w:t xml:space="preserve">fibrous cement board </w:t>
      </w:r>
    </w:p>
    <w:p w:rsidR="00000000" w:rsidRPr="009811DC" w:rsidP="009811DC">
      <w:pPr>
        <w:pStyle w:val="ListBullet3"/>
      </w:pPr>
      <w:r w:rsidRPr="009811DC">
        <w:t xml:space="preserve">medium and high-density fibreboard (MDF/HDF) hard underlay </w:t>
      </w:r>
    </w:p>
    <w:p w:rsidR="00000000" w:rsidRPr="009811DC" w:rsidP="009811DC">
      <w:pPr>
        <w:pStyle w:val="ListBullet3"/>
      </w:pPr>
      <w:r w:rsidRPr="009811DC">
        <w:t xml:space="preserve">ply sheeting </w:t>
      </w:r>
    </w:p>
    <w:p w:rsidR="00000000" w:rsidRPr="009811DC" w:rsidP="009811DC">
      <w:pPr>
        <w:pStyle w:val="ListBullet2"/>
      </w:pPr>
      <w:r w:rsidRPr="009811DC">
        <w:t>types, characteristics, uses and limita</w:t>
      </w:r>
      <w:r w:rsidRPr="009811DC">
        <w:t>tions of:</w:t>
      </w:r>
    </w:p>
    <w:p w:rsidR="00000000" w:rsidRPr="009811DC" w:rsidP="009811DC">
      <w:pPr>
        <w:pStyle w:val="ListBullet3"/>
      </w:pPr>
      <w:r w:rsidRPr="009811DC">
        <w:t>primers, repairing and smoothing cement-based compounds</w:t>
      </w:r>
    </w:p>
    <w:p w:rsidR="00000000" w:rsidRPr="009811DC" w:rsidP="009811DC">
      <w:pPr>
        <w:pStyle w:val="ListBullet3"/>
      </w:pPr>
      <w:r w:rsidRPr="009811DC">
        <w:t>adhesives including acrylic, water and solvent-based</w:t>
      </w:r>
    </w:p>
    <w:p w:rsidR="00000000" w:rsidRPr="009811DC" w:rsidP="009811DC">
      <w:pPr>
        <w:pStyle w:val="ListBullet2"/>
      </w:pPr>
      <w:r w:rsidRPr="009811DC">
        <w:t>types, characteristics, uses and limitations of different profiles</w:t>
      </w:r>
    </w:p>
    <w:p w:rsidR="00000000" w:rsidRPr="009811DC" w:rsidP="009811DC">
      <w:pPr>
        <w:pStyle w:val="ListBullet3"/>
      </w:pPr>
      <w:r w:rsidRPr="009811DC">
        <w:t xml:space="preserve">internal and external angles </w:t>
      </w:r>
    </w:p>
    <w:p w:rsidR="00000000" w:rsidRPr="009811DC" w:rsidP="009811DC">
      <w:pPr>
        <w:pStyle w:val="ListBullet3"/>
      </w:pPr>
      <w:r w:rsidRPr="009811DC">
        <w:t xml:space="preserve">bullnoses </w:t>
      </w:r>
    </w:p>
    <w:p w:rsidR="00000000" w:rsidRPr="009811DC" w:rsidP="009811DC">
      <w:pPr>
        <w:pStyle w:val="ListBullet3"/>
      </w:pPr>
      <w:r w:rsidRPr="009811DC">
        <w:t xml:space="preserve">coves </w:t>
      </w:r>
    </w:p>
    <w:p w:rsidR="00000000" w:rsidRPr="009811DC" w:rsidP="009811DC">
      <w:pPr>
        <w:pStyle w:val="ListBullet3"/>
      </w:pPr>
      <w:r w:rsidRPr="009811DC">
        <w:t>profiling to pipe work</w:t>
      </w:r>
    </w:p>
    <w:p w:rsidR="00000000" w:rsidRPr="009811DC" w:rsidP="009811DC">
      <w:pPr>
        <w:pStyle w:val="ListBullet2"/>
      </w:pPr>
      <w:r w:rsidRPr="009811DC">
        <w:t>types, characteristics, safe use, maintenance and limitations of tools, equipment and materials</w:t>
      </w:r>
    </w:p>
    <w:p w:rsidR="00000000" w:rsidRPr="009811DC" w:rsidP="009811DC">
      <w:pPr>
        <w:pStyle w:val="ListBullet2"/>
      </w:pPr>
      <w:r w:rsidRPr="009811DC">
        <w:t>techniques for set out, laying, cutting fixing and finishing, the types of problems that may occur and how to avoid and respond:</w:t>
      </w:r>
    </w:p>
    <w:p w:rsidR="00000000" w:rsidRPr="009811DC" w:rsidP="009811DC">
      <w:pPr>
        <w:pStyle w:val="ListBullet3"/>
      </w:pPr>
      <w:r w:rsidRPr="009811DC">
        <w:t>abraid</w:t>
      </w:r>
      <w:r w:rsidRPr="009811DC">
        <w:t>ing and fusing</w:t>
      </w:r>
    </w:p>
    <w:p w:rsidR="00000000" w:rsidRPr="009811DC" w:rsidP="009811DC">
      <w:pPr>
        <w:pStyle w:val="ListBullet3"/>
      </w:pPr>
      <w:r w:rsidRPr="009811DC">
        <w:t>feathering - fitment of PVC edge fillet diminishing strip and the use of pre-mixed or mixed cementitious compounds</w:t>
      </w:r>
    </w:p>
    <w:p w:rsidR="00000000" w:rsidRPr="009811DC" w:rsidP="009811DC">
      <w:pPr>
        <w:pStyle w:val="ListBullet3"/>
      </w:pPr>
      <w:r w:rsidRPr="009811DC">
        <w:t>sealing</w:t>
      </w:r>
    </w:p>
    <w:p w:rsidR="00000000" w:rsidRPr="009811DC" w:rsidP="009811DC">
      <w:pPr>
        <w:pStyle w:val="ListBullet3"/>
      </w:pPr>
      <w:r w:rsidRPr="009811DC">
        <w:t>trimming</w:t>
      </w:r>
    </w:p>
    <w:p w:rsidR="00000000" w:rsidRPr="009811DC" w:rsidP="009811DC">
      <w:pPr>
        <w:pStyle w:val="ListBullet3"/>
      </w:pPr>
      <w:r w:rsidRPr="009811DC">
        <w:t>welding including heat and cold chemical</w:t>
      </w:r>
    </w:p>
    <w:p w:rsidR="00000000" w:rsidRPr="009811DC" w:rsidP="009811DC">
      <w:pPr>
        <w:pStyle w:val="ListBullet2"/>
      </w:pPr>
      <w:r w:rsidRPr="009811DC">
        <w:t>quality indicators for completed work</w:t>
      </w:r>
    </w:p>
    <w:p w:rsidR="00000000" w:rsidRPr="009811DC" w:rsidP="009811DC">
      <w:pPr>
        <w:pStyle w:val="ListBullet"/>
      </w:pPr>
      <w:r w:rsidRPr="009811DC">
        <w:t>procedures for the recording</w:t>
      </w:r>
      <w:r w:rsidRPr="009811DC">
        <w:t>, reporting and maintenance of workplace records and information.</w:t>
      </w:r>
    </w:p>
    <w:p w:rsidR="00000000" w:rsidRPr="009811DC" w:rsidP="009811DC">
      <w:pPr>
        <w:pStyle w:val="AllowPageBreak"/>
      </w:pPr>
    </w:p>
    <w:p w:rsidR="00000000" w:rsidRPr="009811DC" w:rsidP="009811DC">
      <w:pPr>
        <w:pStyle w:val="Heading1"/>
      </w:pPr>
      <w:bookmarkStart w:id="4" w:name="O_1011145"/>
      <w:bookmarkEnd w:id="4"/>
      <w:r w:rsidRPr="009811DC">
        <w:t>Assessment Conditions</w:t>
      </w:r>
    </w:p>
    <w:p w:rsidR="00000000" w:rsidRPr="009811DC" w:rsidP="00F843C2">
      <w:pPr>
        <w:pStyle w:val="BodyText"/>
      </w:pPr>
      <w:r w:rsidRPr="009811DC">
        <w:t>Skills must have been demonstrated in the workplace or in a simulated environment that reflects workplace conditions and contingencies.</w:t>
      </w:r>
    </w:p>
    <w:p w:rsidR="00000000" w:rsidRPr="009811DC" w:rsidP="00F843C2">
      <w:pPr>
        <w:pStyle w:val="BodyText"/>
      </w:pPr>
      <w:r w:rsidRPr="009811DC">
        <w:t xml:space="preserve">The following conditions must be met for this unit: </w:t>
      </w:r>
    </w:p>
    <w:p w:rsidR="00000000" w:rsidRPr="009811DC" w:rsidP="009811DC">
      <w:pPr>
        <w:pStyle w:val="ListBullet"/>
      </w:pPr>
      <w:r w:rsidRPr="009811DC">
        <w:t xml:space="preserve">use of suitable facilities, equipment and resources, including: </w:t>
      </w:r>
    </w:p>
    <w:p w:rsidR="00000000" w:rsidRPr="009811DC" w:rsidP="009811DC">
      <w:pPr>
        <w:pStyle w:val="ListBullet2"/>
      </w:pPr>
      <w:r w:rsidRPr="009811DC">
        <w:t>locations requiring rubber flooring installations</w:t>
      </w:r>
    </w:p>
    <w:p w:rsidR="00000000" w:rsidRPr="009811DC" w:rsidP="009811DC">
      <w:pPr>
        <w:pStyle w:val="ListBullet2"/>
      </w:pPr>
      <w:r w:rsidRPr="009811DC">
        <w:t xml:space="preserve">rubber flooring </w:t>
      </w:r>
    </w:p>
    <w:p w:rsidR="00000000" w:rsidRPr="009811DC" w:rsidP="009811DC">
      <w:pPr>
        <w:pStyle w:val="ListBullet2"/>
      </w:pPr>
      <w:r w:rsidRPr="009811DC">
        <w:t>equipment, tools and materials to complete tasks in the Performance E</w:t>
      </w:r>
      <w:r w:rsidRPr="009811DC">
        <w:t>vidence, including safety and personal protective equipment</w:t>
      </w:r>
    </w:p>
    <w:p w:rsidR="00000000" w:rsidRPr="009811DC" w:rsidP="009811DC">
      <w:pPr>
        <w:pStyle w:val="ListBullet2"/>
      </w:pPr>
      <w:r w:rsidRPr="009811DC">
        <w:t xml:space="preserve">work orders </w:t>
      </w:r>
    </w:p>
    <w:p w:rsidR="00000000" w:rsidRPr="009811DC" w:rsidP="009811DC">
      <w:pPr>
        <w:pStyle w:val="ListBullet2"/>
      </w:pPr>
      <w:r w:rsidRPr="009811DC">
        <w:t>workplace procedures.</w:t>
      </w:r>
    </w:p>
    <w:p w:rsidR="00F843C2" w:rsidP="00F843C2">
      <w:pPr>
        <w:pStyle w:val="BodyText"/>
      </w:pPr>
      <w:r w:rsidRPr="009811DC">
        <w:t>Assessors must satisfy the NVR/AQTF mandatory competency requirements for assessors.</w:t>
      </w:r>
    </w:p>
    <w:p w:rsidR="00000000" w:rsidRPr="009811DC" w:rsidP="009811DC">
      <w:pPr>
        <w:pStyle w:val="Heading1"/>
      </w:pPr>
      <w:bookmarkStart w:id="5" w:name="O_1011143"/>
      <w:bookmarkEnd w:id="5"/>
      <w:r w:rsidRPr="009811DC">
        <w:t>Links</w:t>
      </w:r>
    </w:p>
    <w:p w:rsidR="00000000" w:rsidRPr="009811DC" w:rsidP="00F843C2">
      <w:pPr>
        <w:pStyle w:val="BodyText"/>
      </w:pPr>
      <w:r w:rsidRPr="009811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0676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9811DC" w:rsidP="009811DC"/>
    <w:sectPr w:rsidSect="009811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1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1DC" w:rsidRPr="00F843C2" w:rsidP="00F843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1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3C2" w:rsidP="009811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43C2" w:rsidP="009811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843C2" w:rsidP="009811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1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3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811DC" w:rsidRPr="00F843C2" w:rsidP="00F843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1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3C2" w:rsidRPr="002D2AF8" w:rsidP="009811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MSFFL3070 Install resilient sheet to walls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F843C2" w:rsidP="009811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9C61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821D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01A55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1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11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11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11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11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11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11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11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11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11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11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11DC"/>
  </w:style>
  <w:style w:type="character" w:customStyle="1" w:styleId="Heading1Char">
    <w:name w:val="Heading 1 Char"/>
    <w:basedOn w:val="DefaultParagraphFont"/>
    <w:link w:val="Heading1"/>
    <w:rsid w:val="009811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811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11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811D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811D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811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11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811D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811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11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11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11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11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11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11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11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11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11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11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11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11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11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11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11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11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11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11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811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11DC"/>
    <w:rPr>
      <w:b/>
      <w:spacing w:val="0"/>
    </w:rPr>
  </w:style>
  <w:style w:type="paragraph" w:customStyle="1" w:styleId="SuperTitle">
    <w:name w:val="SuperTitle"/>
    <w:basedOn w:val="Title"/>
    <w:rsid w:val="009811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11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11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811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11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11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11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11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11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11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11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11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11DC"/>
    <w:rPr>
      <w:i/>
    </w:rPr>
  </w:style>
  <w:style w:type="paragraph" w:styleId="Caption">
    <w:name w:val="caption"/>
    <w:basedOn w:val="BodyText"/>
    <w:next w:val="Normal"/>
    <w:qFormat/>
    <w:rsid w:val="009811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11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11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11DC"/>
  </w:style>
  <w:style w:type="paragraph" w:styleId="TableofFigures">
    <w:name w:val="table of figures"/>
    <w:basedOn w:val="Normal"/>
    <w:next w:val="Normal"/>
    <w:semiHidden/>
    <w:rsid w:val="009811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11D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811DC"/>
    <w:rPr>
      <w:rFonts w:ascii="Wingdings" w:hAnsi="Wingdings"/>
    </w:rPr>
  </w:style>
  <w:style w:type="paragraph" w:customStyle="1" w:styleId="TableHeading">
    <w:name w:val="Table Heading"/>
    <w:basedOn w:val="HeadingBase"/>
    <w:rsid w:val="009811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11DC"/>
    <w:rPr>
      <w:color w:val="0033CC"/>
      <w:u w:val="none"/>
    </w:rPr>
  </w:style>
  <w:style w:type="paragraph" w:customStyle="1" w:styleId="BodyTextRight">
    <w:name w:val="Body Text Right"/>
    <w:basedOn w:val="BodyText"/>
    <w:rsid w:val="009811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11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11D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11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11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11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11DC"/>
    <w:rPr>
      <w:sz w:val="32"/>
    </w:rPr>
  </w:style>
  <w:style w:type="paragraph" w:customStyle="1" w:styleId="HeadingProcedure">
    <w:name w:val="Heading Procedure"/>
    <w:basedOn w:val="HeadingBase"/>
    <w:next w:val="Normal"/>
    <w:rsid w:val="009811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11DC"/>
    <w:pPr>
      <w:spacing w:before="60" w:after="60"/>
    </w:pPr>
  </w:style>
  <w:style w:type="paragraph" w:styleId="ListContinue">
    <w:name w:val="List Continue"/>
    <w:basedOn w:val="List"/>
    <w:rsid w:val="009811DC"/>
    <w:pPr>
      <w:ind w:firstLine="0"/>
    </w:pPr>
  </w:style>
  <w:style w:type="paragraph" w:customStyle="1" w:styleId="ListNote">
    <w:name w:val="List Note"/>
    <w:basedOn w:val="List"/>
    <w:rsid w:val="009811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11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11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11DC"/>
    <w:rPr>
      <w:rFonts w:ascii="Courier New" w:hAnsi="Courier New"/>
    </w:rPr>
  </w:style>
  <w:style w:type="paragraph" w:customStyle="1" w:styleId="NoteBullet">
    <w:name w:val="Note Bullet"/>
    <w:basedOn w:val="Note"/>
    <w:rsid w:val="009811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11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11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11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11D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811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11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11DC"/>
    <w:rPr>
      <w:b/>
      <w:smallCaps/>
    </w:rPr>
  </w:style>
  <w:style w:type="paragraph" w:customStyle="1" w:styleId="TableListNumber">
    <w:name w:val="Table List Number"/>
    <w:basedOn w:val="ListNumber"/>
    <w:rsid w:val="009811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11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11DC"/>
    <w:pPr>
      <w:numPr>
        <w:numId w:val="10"/>
      </w:numPr>
    </w:pPr>
  </w:style>
  <w:style w:type="paragraph" w:customStyle="1" w:styleId="ListAlpha2">
    <w:name w:val="List Alpha 2"/>
    <w:basedOn w:val="List2"/>
    <w:rsid w:val="009811DC"/>
    <w:pPr>
      <w:numPr>
        <w:numId w:val="9"/>
      </w:numPr>
    </w:pPr>
  </w:style>
  <w:style w:type="paragraph" w:styleId="List2">
    <w:name w:val="List 2"/>
    <w:basedOn w:val="BodyText"/>
    <w:rsid w:val="009811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11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11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11D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811D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811DC"/>
    <w:pPr>
      <w:numPr>
        <w:numId w:val="5"/>
      </w:numPr>
    </w:pPr>
  </w:style>
  <w:style w:type="paragraph" w:styleId="ListContinue2">
    <w:name w:val="List Continue 2"/>
    <w:basedOn w:val="List2"/>
    <w:rsid w:val="009811DC"/>
    <w:pPr>
      <w:ind w:firstLine="0"/>
    </w:pPr>
  </w:style>
  <w:style w:type="paragraph" w:styleId="ListContinue3">
    <w:name w:val="List Continue 3"/>
    <w:basedOn w:val="List3"/>
    <w:rsid w:val="009811DC"/>
    <w:pPr>
      <w:ind w:left="1021" w:firstLine="0"/>
    </w:pPr>
  </w:style>
  <w:style w:type="paragraph" w:styleId="ListContinue4">
    <w:name w:val="List Continue 4"/>
    <w:basedOn w:val="List4"/>
    <w:rsid w:val="009811DC"/>
    <w:pPr>
      <w:ind w:firstLine="0"/>
    </w:pPr>
  </w:style>
  <w:style w:type="paragraph" w:styleId="ListContinue5">
    <w:name w:val="List Continue 5"/>
    <w:basedOn w:val="List5"/>
    <w:rsid w:val="009811DC"/>
    <w:pPr>
      <w:ind w:firstLine="0"/>
    </w:pPr>
  </w:style>
  <w:style w:type="paragraph" w:styleId="ListNumber3">
    <w:name w:val="List Number 3"/>
    <w:basedOn w:val="List3"/>
    <w:rsid w:val="009811DC"/>
    <w:pPr>
      <w:numPr>
        <w:numId w:val="6"/>
      </w:numPr>
    </w:pPr>
  </w:style>
  <w:style w:type="paragraph" w:styleId="ListNumber4">
    <w:name w:val="List Number 4"/>
    <w:basedOn w:val="List4"/>
    <w:rsid w:val="009811DC"/>
    <w:pPr>
      <w:numPr>
        <w:numId w:val="7"/>
      </w:numPr>
    </w:pPr>
  </w:style>
  <w:style w:type="paragraph" w:styleId="ListNumber5">
    <w:name w:val="List Number 5"/>
    <w:basedOn w:val="List5"/>
    <w:rsid w:val="009811DC"/>
    <w:pPr>
      <w:numPr>
        <w:numId w:val="8"/>
      </w:numPr>
    </w:pPr>
  </w:style>
  <w:style w:type="paragraph" w:styleId="BlockText">
    <w:name w:val="Block Text"/>
    <w:basedOn w:val="Normal"/>
    <w:rsid w:val="009811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11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11DC"/>
    <w:rPr>
      <w:sz w:val="16"/>
      <w:vertAlign w:val="superscript"/>
    </w:rPr>
  </w:style>
  <w:style w:type="character" w:customStyle="1" w:styleId="Symbols">
    <w:name w:val="Symbols"/>
    <w:basedOn w:val="DefaultParagraphFont"/>
    <w:rsid w:val="009811DC"/>
    <w:rPr>
      <w:rFonts w:ascii="Symbol" w:hAnsi="Symbol"/>
    </w:rPr>
  </w:style>
  <w:style w:type="character" w:customStyle="1" w:styleId="MenuOptions">
    <w:name w:val="Menu Options"/>
    <w:basedOn w:val="DefaultParagraphFont"/>
    <w:rsid w:val="009811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11DC"/>
    <w:rPr>
      <w:b/>
    </w:rPr>
  </w:style>
  <w:style w:type="character" w:customStyle="1" w:styleId="Underlined">
    <w:name w:val="Underlined"/>
    <w:basedOn w:val="DefaultParagraphFont"/>
    <w:rsid w:val="009811DC"/>
    <w:rPr>
      <w:u w:val="single"/>
    </w:rPr>
  </w:style>
  <w:style w:type="paragraph" w:customStyle="1" w:styleId="TableBodyTextRight">
    <w:name w:val="Table Body Text Right"/>
    <w:basedOn w:val="TableBodyText"/>
    <w:rsid w:val="009811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11DC"/>
    <w:rPr>
      <w:sz w:val="18"/>
    </w:rPr>
  </w:style>
  <w:style w:type="paragraph" w:customStyle="1" w:styleId="BodySmallRight">
    <w:name w:val="Body Small Right"/>
    <w:basedOn w:val="BodyTextRight"/>
    <w:rsid w:val="009811DC"/>
    <w:rPr>
      <w:sz w:val="18"/>
      <w:szCs w:val="18"/>
    </w:rPr>
  </w:style>
  <w:style w:type="paragraph" w:customStyle="1" w:styleId="MarginEdition">
    <w:name w:val="Margin Edition"/>
    <w:basedOn w:val="MarginNote"/>
    <w:rsid w:val="009811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11DC"/>
    <w:rPr>
      <w:sz w:val="2"/>
      <w:szCs w:val="2"/>
    </w:rPr>
  </w:style>
  <w:style w:type="character" w:customStyle="1" w:styleId="Small">
    <w:name w:val="Small"/>
    <w:basedOn w:val="DefaultParagraphFont"/>
    <w:rsid w:val="009811DC"/>
    <w:rPr>
      <w:sz w:val="16"/>
    </w:rPr>
  </w:style>
  <w:style w:type="paragraph" w:customStyle="1" w:styleId="WideTable">
    <w:name w:val="Wide Table"/>
    <w:basedOn w:val="Normal"/>
    <w:rsid w:val="009811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11DC"/>
  </w:style>
  <w:style w:type="paragraph" w:styleId="Quote">
    <w:name w:val="Quote"/>
    <w:basedOn w:val="Heading1"/>
    <w:link w:val="QuoteChar"/>
    <w:qFormat/>
    <w:rsid w:val="009811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11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11DC"/>
    <w:pPr>
      <w:pageBreakBefore/>
    </w:pPr>
  </w:style>
  <w:style w:type="paragraph" w:customStyle="1" w:styleId="Border">
    <w:name w:val="Border"/>
    <w:basedOn w:val="Normal"/>
    <w:qFormat/>
    <w:rsid w:val="009811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11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1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1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11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11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11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11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11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11DC"/>
    <w:rPr>
      <w:u w:val="single"/>
    </w:rPr>
  </w:style>
  <w:style w:type="character" w:customStyle="1" w:styleId="BoldandItalics">
    <w:name w:val="Bold and Italics"/>
    <w:qFormat/>
    <w:rsid w:val="009811DC"/>
    <w:rPr>
      <w:b/>
      <w:i/>
      <w:u w:val="none"/>
    </w:rPr>
  </w:style>
  <w:style w:type="paragraph" w:styleId="BalloonText">
    <w:name w:val="Balloon Text"/>
    <w:basedOn w:val="Normal"/>
    <w:link w:val="BalloonTextChar"/>
    <w:rsid w:val="009811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11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11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11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11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11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811DC"/>
    <w:pPr>
      <w:spacing w:before="0" w:after="0"/>
    </w:pPr>
  </w:style>
  <w:style w:type="paragraph" w:customStyle="1" w:styleId="BodyTextBold">
    <w:name w:val="Body Text Bold"/>
    <w:basedOn w:val="BodyText"/>
    <w:qFormat/>
    <w:rsid w:val="009811DC"/>
    <w:rPr>
      <w:b/>
    </w:rPr>
  </w:style>
  <w:style w:type="character" w:styleId="Hyperlink">
    <w:name w:val="Hyperlink"/>
    <w:basedOn w:val="DefaultParagraphFont"/>
    <w:uiPriority w:val="99"/>
    <w:unhideWhenUsed/>
    <w:rsid w:val="00F843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3239</Characters>
  <Application>Microsoft Office Word</Application>
  <DocSecurity>0</DocSecurity>
  <Lines>87</Lines>
  <Paragraphs>71</Paragraphs>
  <ScaleCrop>false</ScaleCrop>
  <Company>Author-it Software Corporation Ltd.</Company>
  <LinksUpToDate>false</LinksUpToDate>
  <CharactersWithSpaces>3658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MSFFL3070 Install resilient sheet to walls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2022-12-08T01:14:00Z</dcterms:created>
  <dcterms:modified xsi:type="dcterms:W3CDTF">2022-12-08T01:14:00Z</dcterms:modified>
</cp:coreProperties>
</file>