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49A4" w:rsidP="000549A4">
      <w:pPr>
        <w:pStyle w:val="Title"/>
      </w:pPr>
      <w:r>
        <w:fldChar w:fldCharType="begin"/>
      </w:r>
      <w:r>
        <w:instrText xml:space="preserve"> TITLE   \* MERGEFORMAT </w:instrText>
      </w:r>
      <w:r>
        <w:fldChar w:fldCharType="separate"/>
      </w:r>
      <w:r>
        <w:t>MSFFL3046 Apply finishes to cork flooring</w:t>
      </w:r>
      <w:r>
        <w:fldChar w:fldCharType="end"/>
      </w:r>
    </w:p>
    <w:p w:rsidR="000549A4" w:rsidP="000549A4">
      <w:pPr>
        <w:pStyle w:val="Version"/>
        <w:sectPr w:rsidSect="00DA7C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7CCD" w:rsidP="00DA7CCD">
      <w:pPr>
        <w:pStyle w:val="SuperHeading"/>
      </w:pPr>
      <w:r w:rsidRPr="00DA7CCD">
        <w:t>MSFFL3046 Apply finishes to cork flooring</w:t>
      </w:r>
    </w:p>
    <w:p w:rsidR="00000000" w:rsidRPr="00DA7CCD" w:rsidP="00DA7CCD">
      <w:pPr>
        <w:pStyle w:val="Heading1"/>
      </w:pPr>
      <w:bookmarkStart w:id="1" w:name="O_636583"/>
      <w:bookmarkEnd w:id="1"/>
      <w:r w:rsidRPr="00DA7CCD">
        <w:t>Modification History</w:t>
      </w:r>
    </w:p>
    <w:p w:rsidR="00000000" w:rsidRPr="00DA7CCD" w:rsidP="00DA7CCD">
      <w:pPr>
        <w:pStyle w:val="BodyText"/>
      </w:pPr>
      <w:r w:rsidRPr="00DA7CCD">
        <w:t>Release 1 - New unit of competency</w:t>
      </w:r>
    </w:p>
    <w:p w:rsidR="00000000" w:rsidRPr="00DA7CCD" w:rsidP="00DA7CCD">
      <w:pPr>
        <w:pStyle w:val="AllowPageBreak"/>
      </w:pPr>
    </w:p>
    <w:p w:rsidR="00000000" w:rsidRPr="00DA7CCD" w:rsidP="00DA7CCD">
      <w:pPr>
        <w:pStyle w:val="Heading1"/>
      </w:pPr>
      <w:bookmarkStart w:id="2" w:name="O_636591"/>
      <w:bookmarkEnd w:id="2"/>
      <w:r w:rsidRPr="00DA7CCD">
        <w:t>Application</w:t>
      </w:r>
    </w:p>
    <w:p w:rsidR="00000000" w:rsidRPr="00DA7CCD" w:rsidP="00DA7CCD">
      <w:pPr>
        <w:pStyle w:val="BodyText"/>
      </w:pPr>
      <w:r w:rsidRPr="00DA7CCD">
        <w:t>This unit of competency covers selecting coating systems appropriate for the job, preparing for the work and applying the selected finishes to cork flooring.</w:t>
      </w:r>
    </w:p>
    <w:p w:rsidR="00000000" w:rsidRPr="00DA7CCD" w:rsidP="00DA7CCD">
      <w:pPr>
        <w:pStyle w:val="BodyText"/>
      </w:pPr>
    </w:p>
    <w:p w:rsidR="00000000" w:rsidRPr="00DA7CCD" w:rsidP="00DA7CCD">
      <w:pPr>
        <w:pStyle w:val="BodyText"/>
      </w:pPr>
      <w:r w:rsidRPr="00DA7CCD">
        <w:t>Licensing, l</w:t>
      </w:r>
      <w:r w:rsidRPr="00DA7CCD">
        <w:t>egislative or certification requirements may apply to this unit and relevant state/territory and local government agencies should be consulted to determine any necessary certification or licensing for undertaking flooring work. Access to construction sites</w:t>
      </w:r>
      <w:r w:rsidRPr="00DA7CCD">
        <w:t xml:space="preserve"> requires certification of general induction training specified by the National Code of Practice for Induction for Construction Work (ASCC 2007).</w:t>
      </w:r>
    </w:p>
    <w:p w:rsidR="00000000" w:rsidRPr="00DA7CCD" w:rsidP="00DA7CCD">
      <w:pPr>
        <w:pStyle w:val="AllowPageBreak"/>
      </w:pPr>
    </w:p>
    <w:p w:rsidR="00000000" w:rsidRPr="00DA7CCD" w:rsidP="00DA7CCD">
      <w:pPr>
        <w:pStyle w:val="Heading1"/>
      </w:pPr>
      <w:bookmarkStart w:id="3" w:name="O_636590"/>
      <w:bookmarkEnd w:id="3"/>
      <w:r w:rsidRPr="00DA7CCD">
        <w:t>Pre-requisite Unit</w:t>
      </w:r>
    </w:p>
    <w:p w:rsidR="00000000" w:rsidRPr="00DA7CCD" w:rsidP="00DA7CCD">
      <w:pPr>
        <w:pStyle w:val="Heading1"/>
      </w:pPr>
      <w:bookmarkStart w:id="4" w:name="O_636589"/>
      <w:bookmarkEnd w:id="4"/>
      <w:r w:rsidRPr="00DA7CCD">
        <w:t>Competency Field</w:t>
      </w:r>
    </w:p>
    <w:p w:rsidR="00000000" w:rsidRPr="00DA7CCD" w:rsidP="00DA7CCD">
      <w:pPr>
        <w:pStyle w:val="Heading1"/>
      </w:pPr>
      <w:bookmarkStart w:id="5" w:name="O_636588"/>
      <w:bookmarkEnd w:id="5"/>
      <w:r w:rsidRPr="00DA7CCD">
        <w:t>Unit Sector</w:t>
      </w:r>
    </w:p>
    <w:p w:rsidR="00000000" w:rsidRPr="00DA7CCD" w:rsidP="00DA7CCD">
      <w:pPr>
        <w:pStyle w:val="BodyText"/>
      </w:pPr>
      <w:r w:rsidRPr="00DA7CCD">
        <w:t>Flooring tech</w:t>
      </w:r>
      <w:r w:rsidRPr="00DA7CCD">
        <w:t>nology</w:t>
      </w:r>
    </w:p>
    <w:p w:rsidR="00000000" w:rsidRPr="00DA7CCD" w:rsidP="00DA7CCD">
      <w:pPr>
        <w:pStyle w:val="AllowPageBreak"/>
      </w:pPr>
    </w:p>
    <w:p w:rsidR="00000000" w:rsidRPr="00DA7CCD" w:rsidP="00DA7CCD">
      <w:pPr>
        <w:pStyle w:val="Heading1"/>
      </w:pPr>
      <w:bookmarkStart w:id="6" w:name="O_636587"/>
      <w:bookmarkEnd w:id="6"/>
      <w:r w:rsidRPr="00DA7CC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A7CC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A7CCD">
            <w:pPr>
              <w:pStyle w:val="BodyText"/>
              <w:rPr>
                <w:lang w:val="en-NZ"/>
              </w:rPr>
            </w:pPr>
            <w:r w:rsidRPr="00DA7CC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A7CCD">
            <w:pPr>
              <w:pStyle w:val="BodyText"/>
              <w:rPr>
                <w:lang w:val="en-NZ"/>
              </w:rPr>
            </w:pPr>
            <w:r w:rsidRPr="00DA7CCD">
              <w:t>Performance criteria describe the performance needed to demonstrate achievement of the element.</w:t>
            </w:r>
          </w:p>
        </w:tc>
      </w:tr>
      <w:tr w:rsidTr="00DA7CC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A7CCD">
            <w:pPr>
              <w:pStyle w:val="BodyText"/>
              <w:rPr>
                <w:lang w:val="en-NZ"/>
              </w:rPr>
            </w:pPr>
            <w:r w:rsidRPr="00DA7CCD">
              <w:t>1</w:t>
            </w:r>
          </w:p>
        </w:tc>
        <w:tc>
          <w:tcPr>
            <w:tcW w:w="1962" w:type="dxa"/>
            <w:vMerge w:val="restart"/>
            <w:tcBorders>
              <w:top w:val="nil"/>
              <w:left w:val="nil"/>
              <w:bottom w:val="nil"/>
              <w:right w:val="nil"/>
            </w:tcBorders>
            <w:tcMar>
              <w:top w:w="0" w:type="dxa"/>
              <w:left w:w="62" w:type="dxa"/>
              <w:bottom w:w="0" w:type="dxa"/>
              <w:right w:w="62" w:type="dxa"/>
            </w:tcMar>
          </w:tcPr>
          <w:p w:rsidR="00000000" w:rsidP="00DA7CCD">
            <w:pPr>
              <w:pStyle w:val="BodyText"/>
              <w:rPr>
                <w:lang w:val="en-NZ"/>
              </w:rPr>
            </w:pPr>
            <w:r w:rsidRPr="00DA7CCD">
              <w:t>Identify and prepare for work requirements</w:t>
            </w:r>
          </w:p>
        </w:tc>
        <w:tc>
          <w:tcPr>
            <w:tcW w:w="770" w:type="dxa"/>
            <w:tcBorders>
              <w:top w:val="nil"/>
              <w:left w:val="nil"/>
              <w:bottom w:val="nil"/>
              <w:right w:val="nil"/>
            </w:tcBorders>
            <w:tcMar>
              <w:top w:w="0" w:type="dxa"/>
              <w:left w:w="62" w:type="dxa"/>
              <w:bottom w:w="0" w:type="dxa"/>
              <w:right w:w="62" w:type="dxa"/>
            </w:tcMar>
          </w:tcPr>
          <w:p w:rsidR="00000000" w:rsidP="00DA7CCD">
            <w:pPr>
              <w:pStyle w:val="BodyText"/>
              <w:rPr>
                <w:lang w:val="en-NZ"/>
              </w:rPr>
            </w:pPr>
            <w:r w:rsidRPr="00DA7CCD">
              <w:t>1.1</w:t>
            </w:r>
          </w:p>
        </w:tc>
        <w:tc>
          <w:tcPr>
            <w:tcW w:w="5610" w:type="dxa"/>
            <w:tcBorders>
              <w:top w:val="nil"/>
              <w:left w:val="nil"/>
              <w:bottom w:val="nil"/>
              <w:right w:val="nil"/>
            </w:tcBorders>
            <w:tcMar>
              <w:top w:w="0" w:type="dxa"/>
              <w:left w:w="62" w:type="dxa"/>
              <w:bottom w:w="0" w:type="dxa"/>
              <w:right w:w="62" w:type="dxa"/>
            </w:tcMar>
          </w:tcPr>
          <w:p w:rsidR="00000000" w:rsidP="00DA7CCD">
            <w:pPr>
              <w:pStyle w:val="BodyText"/>
              <w:rPr>
                <w:lang w:val="en-NZ"/>
              </w:rPr>
            </w:pPr>
            <w:r w:rsidRPr="00DA7CCD">
              <w:t>Applicable work health and safety (WHS), legislative and organisational requirements relevant to the application of finishes are verified and complied with</w:t>
            </w:r>
          </w:p>
        </w:tc>
      </w:tr>
      <w:tr w:rsidTr="00DA7CC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7CCD">
            <w:pPr>
              <w:pStyle w:val="BodyText"/>
              <w:rPr>
                <w:lang w:val="en-NZ"/>
              </w:rPr>
            </w:pPr>
            <w:r w:rsidRPr="00DA7CCD">
              <w:t>1.2</w:t>
            </w:r>
          </w:p>
        </w:tc>
        <w:tc>
          <w:tcPr>
            <w:tcW w:w="5610" w:type="dxa"/>
            <w:tcBorders>
              <w:top w:val="nil"/>
              <w:left w:val="nil"/>
              <w:bottom w:val="nil"/>
              <w:right w:val="nil"/>
            </w:tcBorders>
            <w:tcMar>
              <w:top w:w="0" w:type="dxa"/>
              <w:left w:w="62" w:type="dxa"/>
              <w:bottom w:w="0" w:type="dxa"/>
              <w:right w:w="62" w:type="dxa"/>
            </w:tcMar>
          </w:tcPr>
          <w:p w:rsidR="00000000" w:rsidP="00DA7CCD">
            <w:pPr>
              <w:pStyle w:val="BodyText"/>
              <w:rPr>
                <w:lang w:val="en-NZ"/>
              </w:rPr>
            </w:pPr>
            <w:r w:rsidRPr="00DA7CCD">
              <w:t>Instructions and/or plans are read and interpreted to identify process required to complete w</w:t>
            </w:r>
            <w:r w:rsidRPr="00DA7CCD">
              <w:t>ork tasks</w:t>
            </w:r>
          </w:p>
        </w:tc>
      </w:tr>
      <w:tr w:rsidTr="00DA7CC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7CCD">
            <w:pPr>
              <w:pStyle w:val="BodyText"/>
              <w:rPr>
                <w:lang w:val="en-NZ"/>
              </w:rPr>
            </w:pPr>
            <w:r w:rsidRPr="00DA7CCD">
              <w:t>1.3</w:t>
            </w:r>
          </w:p>
        </w:tc>
        <w:tc>
          <w:tcPr>
            <w:tcW w:w="5610" w:type="dxa"/>
            <w:tcBorders>
              <w:top w:val="nil"/>
              <w:left w:val="nil"/>
              <w:bottom w:val="nil"/>
              <w:right w:val="nil"/>
            </w:tcBorders>
            <w:tcMar>
              <w:top w:w="0" w:type="dxa"/>
              <w:left w:w="62" w:type="dxa"/>
              <w:bottom w:w="0" w:type="dxa"/>
              <w:right w:w="62" w:type="dxa"/>
            </w:tcMar>
          </w:tcPr>
          <w:p w:rsidR="00000000" w:rsidP="00DA7CCD">
            <w:pPr>
              <w:pStyle w:val="BodyText"/>
              <w:rPr>
                <w:lang w:val="en-NZ"/>
              </w:rPr>
            </w:pPr>
            <w:r w:rsidRPr="00DA7CCD">
              <w:t>Coating material is selected with regard to durability, longevity, aesthetics, manufacturer recommendations and client expectations</w:t>
            </w:r>
          </w:p>
        </w:tc>
      </w:tr>
      <w:tr w:rsidTr="00DA7CC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7CCD">
            <w:pPr>
              <w:pStyle w:val="BodyText"/>
              <w:rPr>
                <w:lang w:val="en-NZ"/>
              </w:rPr>
            </w:pPr>
            <w:r w:rsidRPr="00DA7CCD">
              <w:t>1.4</w:t>
            </w:r>
          </w:p>
        </w:tc>
        <w:tc>
          <w:tcPr>
            <w:tcW w:w="5610" w:type="dxa"/>
            <w:tcBorders>
              <w:top w:val="nil"/>
              <w:left w:val="nil"/>
              <w:bottom w:val="nil"/>
              <w:right w:val="nil"/>
            </w:tcBorders>
            <w:tcMar>
              <w:top w:w="0" w:type="dxa"/>
              <w:left w:w="62" w:type="dxa"/>
              <w:bottom w:w="0" w:type="dxa"/>
              <w:right w:w="62" w:type="dxa"/>
            </w:tcMar>
          </w:tcPr>
          <w:p w:rsidR="00000000" w:rsidP="00DA7CCD">
            <w:pPr>
              <w:pStyle w:val="BodyText"/>
              <w:rPr>
                <w:lang w:val="en-NZ"/>
              </w:rPr>
            </w:pPr>
            <w:r w:rsidRPr="00DA7CCD">
              <w:t>Selected coating materials are assessed as being compatible with each other, with the surface to be finished and with manufacturer recommendations</w:t>
            </w:r>
          </w:p>
        </w:tc>
      </w:tr>
      <w:tr w:rsidTr="00DA7CC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7CCD">
            <w:pPr>
              <w:pStyle w:val="BodyText"/>
              <w:rPr>
                <w:lang w:val="en-NZ"/>
              </w:rPr>
            </w:pPr>
            <w:r w:rsidRPr="00DA7CCD">
              <w:t>1.5</w:t>
            </w:r>
          </w:p>
        </w:tc>
        <w:tc>
          <w:tcPr>
            <w:tcW w:w="5610" w:type="dxa"/>
            <w:tcBorders>
              <w:top w:val="nil"/>
              <w:left w:val="nil"/>
              <w:bottom w:val="nil"/>
              <w:right w:val="nil"/>
            </w:tcBorders>
            <w:tcMar>
              <w:top w:w="0" w:type="dxa"/>
              <w:left w:w="62" w:type="dxa"/>
              <w:bottom w:w="0" w:type="dxa"/>
              <w:right w:w="62" w:type="dxa"/>
            </w:tcMar>
          </w:tcPr>
          <w:p w:rsidR="00000000" w:rsidP="00DA7CCD">
            <w:pPr>
              <w:pStyle w:val="BodyText"/>
              <w:rPr>
                <w:lang w:val="en-NZ"/>
              </w:rPr>
            </w:pPr>
            <w:r w:rsidRPr="00DA7CCD">
              <w:t>Tools, equipment and materials are selected and checked prior to use to ensure that they are appropria</w:t>
            </w:r>
            <w:r w:rsidRPr="00DA7CCD">
              <w:t>te for the work, serviceable and in a safe condition</w:t>
            </w:r>
          </w:p>
        </w:tc>
      </w:tr>
      <w:tr w:rsidTr="00DA7CC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7CCD">
            <w:pPr>
              <w:pStyle w:val="BodyText"/>
              <w:rPr>
                <w:lang w:val="en-NZ"/>
              </w:rPr>
            </w:pPr>
            <w:r w:rsidRPr="00DA7CCD">
              <w:t>1.6</w:t>
            </w:r>
          </w:p>
        </w:tc>
        <w:tc>
          <w:tcPr>
            <w:tcW w:w="5610" w:type="dxa"/>
            <w:tcBorders>
              <w:top w:val="nil"/>
              <w:left w:val="nil"/>
              <w:bottom w:val="nil"/>
              <w:right w:val="nil"/>
            </w:tcBorders>
            <w:tcMar>
              <w:top w:w="0" w:type="dxa"/>
              <w:left w:w="62" w:type="dxa"/>
              <w:bottom w:w="0" w:type="dxa"/>
              <w:right w:w="62" w:type="dxa"/>
            </w:tcMar>
          </w:tcPr>
          <w:p w:rsidR="00000000" w:rsidP="00DA7CCD">
            <w:pPr>
              <w:pStyle w:val="BodyText"/>
              <w:rPr>
                <w:lang w:val="en-NZ"/>
              </w:rPr>
            </w:pPr>
            <w:r w:rsidRPr="00DA7CCD">
              <w:t xml:space="preserve">Surface to be finished is inspected and assessed as being ready for coating </w:t>
            </w:r>
          </w:p>
        </w:tc>
      </w:tr>
      <w:tr w:rsidTr="00DA7CC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7CCD">
            <w:pPr>
              <w:pStyle w:val="BodyText"/>
              <w:rPr>
                <w:lang w:val="en-NZ"/>
              </w:rPr>
            </w:pPr>
            <w:r w:rsidRPr="00DA7CCD">
              <w:t>1.7</w:t>
            </w:r>
          </w:p>
        </w:tc>
        <w:tc>
          <w:tcPr>
            <w:tcW w:w="5610" w:type="dxa"/>
            <w:tcBorders>
              <w:top w:val="nil"/>
              <w:left w:val="nil"/>
              <w:bottom w:val="nil"/>
              <w:right w:val="nil"/>
            </w:tcBorders>
            <w:tcMar>
              <w:top w:w="0" w:type="dxa"/>
              <w:left w:w="62" w:type="dxa"/>
              <w:bottom w:w="0" w:type="dxa"/>
              <w:right w:w="62" w:type="dxa"/>
            </w:tcMar>
          </w:tcPr>
          <w:p w:rsidR="00000000" w:rsidP="00DA7CCD">
            <w:pPr>
              <w:pStyle w:val="BodyText"/>
              <w:rPr>
                <w:lang w:val="en-NZ"/>
              </w:rPr>
            </w:pPr>
            <w:r w:rsidRPr="00DA7CCD">
              <w:t>Work sequence is planned to ensure efficiency and quality of application</w:t>
            </w:r>
          </w:p>
        </w:tc>
      </w:tr>
      <w:tr w:rsidTr="00DA7CC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7CCD">
            <w:pPr>
              <w:pStyle w:val="BodyText"/>
              <w:rPr>
                <w:lang w:val="en-NZ"/>
              </w:rPr>
            </w:pPr>
            <w:r w:rsidRPr="00DA7CCD">
              <w:t>1.8</w:t>
            </w:r>
          </w:p>
        </w:tc>
        <w:tc>
          <w:tcPr>
            <w:tcW w:w="5610" w:type="dxa"/>
            <w:tcBorders>
              <w:top w:val="nil"/>
              <w:left w:val="nil"/>
              <w:bottom w:val="nil"/>
              <w:right w:val="nil"/>
            </w:tcBorders>
            <w:tcMar>
              <w:top w:w="0" w:type="dxa"/>
              <w:left w:w="62" w:type="dxa"/>
              <w:bottom w:w="0" w:type="dxa"/>
              <w:right w:w="62" w:type="dxa"/>
            </w:tcMar>
          </w:tcPr>
          <w:p w:rsidR="00000000" w:rsidP="00DA7CCD">
            <w:pPr>
              <w:pStyle w:val="BodyText"/>
              <w:rPr>
                <w:lang w:val="en-NZ"/>
              </w:rPr>
            </w:pPr>
            <w:r w:rsidRPr="00DA7CCD">
              <w:t>WHS requirements, including isolation, ventilation and other personal protection needs, are observed throughout the work</w:t>
            </w:r>
          </w:p>
        </w:tc>
      </w:tr>
      <w:tr w:rsidTr="00DA7CC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A7CCD">
            <w:pPr>
              <w:pStyle w:val="BodyText"/>
              <w:rPr>
                <w:lang w:val="en-NZ"/>
              </w:rPr>
            </w:pPr>
            <w:r w:rsidRPr="00DA7CCD">
              <w:t>2</w:t>
            </w:r>
          </w:p>
        </w:tc>
        <w:tc>
          <w:tcPr>
            <w:tcW w:w="1962" w:type="dxa"/>
            <w:vMerge w:val="restart"/>
            <w:tcBorders>
              <w:top w:val="nil"/>
              <w:left w:val="nil"/>
              <w:bottom w:val="nil"/>
              <w:right w:val="nil"/>
            </w:tcBorders>
            <w:tcMar>
              <w:top w:w="0" w:type="dxa"/>
              <w:left w:w="62" w:type="dxa"/>
              <w:bottom w:w="0" w:type="dxa"/>
              <w:right w:w="62" w:type="dxa"/>
            </w:tcMar>
          </w:tcPr>
          <w:p w:rsidR="00000000" w:rsidP="00DA7CCD">
            <w:pPr>
              <w:pStyle w:val="BodyText"/>
              <w:rPr>
                <w:lang w:val="en-NZ"/>
              </w:rPr>
            </w:pPr>
            <w:r w:rsidRPr="00DA7CCD">
              <w:t>Apply finishing system</w:t>
            </w:r>
          </w:p>
        </w:tc>
        <w:tc>
          <w:tcPr>
            <w:tcW w:w="770" w:type="dxa"/>
            <w:tcBorders>
              <w:top w:val="nil"/>
              <w:left w:val="nil"/>
              <w:bottom w:val="nil"/>
              <w:right w:val="nil"/>
            </w:tcBorders>
            <w:tcMar>
              <w:top w:w="0" w:type="dxa"/>
              <w:left w:w="62" w:type="dxa"/>
              <w:bottom w:w="0" w:type="dxa"/>
              <w:right w:w="62" w:type="dxa"/>
            </w:tcMar>
          </w:tcPr>
          <w:p w:rsidR="00000000" w:rsidP="00DA7CCD">
            <w:pPr>
              <w:pStyle w:val="BodyText"/>
              <w:rPr>
                <w:lang w:val="en-NZ"/>
              </w:rPr>
            </w:pPr>
            <w:r w:rsidRPr="00DA7CCD">
              <w:t>2.1</w:t>
            </w:r>
          </w:p>
        </w:tc>
        <w:tc>
          <w:tcPr>
            <w:tcW w:w="5610" w:type="dxa"/>
            <w:tcBorders>
              <w:top w:val="nil"/>
              <w:left w:val="nil"/>
              <w:bottom w:val="nil"/>
              <w:right w:val="nil"/>
            </w:tcBorders>
            <w:tcMar>
              <w:top w:w="0" w:type="dxa"/>
              <w:left w:w="62" w:type="dxa"/>
              <w:bottom w:w="0" w:type="dxa"/>
              <w:right w:w="62" w:type="dxa"/>
            </w:tcMar>
          </w:tcPr>
          <w:p w:rsidR="00000000" w:rsidP="00DA7CCD">
            <w:pPr>
              <w:pStyle w:val="BodyText"/>
              <w:rPr>
                <w:lang w:val="en-NZ"/>
              </w:rPr>
            </w:pPr>
            <w:r w:rsidRPr="00DA7CCD">
              <w:t>Ventilation is checked before chemical fumes are released, and all WHS requirements are met, including us</w:t>
            </w:r>
            <w:r w:rsidRPr="00DA7CCD">
              <w:t>e of personal protective equipment</w:t>
            </w:r>
          </w:p>
        </w:tc>
      </w:tr>
      <w:tr w:rsidTr="00DA7CC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7CCD">
            <w:pPr>
              <w:pStyle w:val="BodyText"/>
              <w:rPr>
                <w:lang w:val="en-NZ"/>
              </w:rPr>
            </w:pPr>
            <w:r w:rsidRPr="00DA7CCD">
              <w:t>2.2</w:t>
            </w:r>
          </w:p>
        </w:tc>
        <w:tc>
          <w:tcPr>
            <w:tcW w:w="5610" w:type="dxa"/>
            <w:tcBorders>
              <w:top w:val="nil"/>
              <w:left w:val="nil"/>
              <w:bottom w:val="nil"/>
              <w:right w:val="nil"/>
            </w:tcBorders>
            <w:tcMar>
              <w:top w:w="0" w:type="dxa"/>
              <w:left w:w="62" w:type="dxa"/>
              <w:bottom w:w="0" w:type="dxa"/>
              <w:right w:w="62" w:type="dxa"/>
            </w:tcMar>
          </w:tcPr>
          <w:p w:rsidR="00000000" w:rsidP="00DA7CCD">
            <w:pPr>
              <w:pStyle w:val="BodyText"/>
              <w:rPr>
                <w:lang w:val="en-NZ"/>
              </w:rPr>
            </w:pPr>
            <w:r w:rsidRPr="00DA7CCD">
              <w:t>Environmental protection regulations are complied with</w:t>
            </w:r>
          </w:p>
        </w:tc>
      </w:tr>
      <w:tr w:rsidTr="00DA7CC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7CCD">
            <w:pPr>
              <w:pStyle w:val="BodyText"/>
              <w:rPr>
                <w:lang w:val="en-NZ"/>
              </w:rPr>
            </w:pPr>
            <w:r w:rsidRPr="00DA7CCD">
              <w:t>2.3</w:t>
            </w:r>
          </w:p>
        </w:tc>
        <w:tc>
          <w:tcPr>
            <w:tcW w:w="5610" w:type="dxa"/>
            <w:tcBorders>
              <w:top w:val="nil"/>
              <w:left w:val="nil"/>
              <w:bottom w:val="nil"/>
              <w:right w:val="nil"/>
            </w:tcBorders>
            <w:tcMar>
              <w:top w:w="0" w:type="dxa"/>
              <w:left w:w="62" w:type="dxa"/>
              <w:bottom w:w="0" w:type="dxa"/>
              <w:right w:w="62" w:type="dxa"/>
            </w:tcMar>
          </w:tcPr>
          <w:p w:rsidR="00000000" w:rsidP="00DA7CCD">
            <w:pPr>
              <w:pStyle w:val="BodyText"/>
              <w:rPr>
                <w:lang w:val="en-NZ"/>
              </w:rPr>
            </w:pPr>
            <w:r w:rsidRPr="00DA7CCD">
              <w:t>Coating material is applied in accordance with manufacturer recommendations</w:t>
            </w:r>
          </w:p>
        </w:tc>
      </w:tr>
      <w:tr w:rsidTr="00DA7CC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7CCD">
            <w:pPr>
              <w:pStyle w:val="BodyText"/>
              <w:rPr>
                <w:lang w:val="en-NZ"/>
              </w:rPr>
            </w:pPr>
            <w:r w:rsidRPr="00DA7CCD">
              <w:t>2.4</w:t>
            </w:r>
          </w:p>
        </w:tc>
        <w:tc>
          <w:tcPr>
            <w:tcW w:w="5610" w:type="dxa"/>
            <w:tcBorders>
              <w:top w:val="nil"/>
              <w:left w:val="nil"/>
              <w:bottom w:val="nil"/>
              <w:right w:val="nil"/>
            </w:tcBorders>
            <w:tcMar>
              <w:top w:w="0" w:type="dxa"/>
              <w:left w:w="62" w:type="dxa"/>
              <w:bottom w:w="0" w:type="dxa"/>
              <w:right w:w="62" w:type="dxa"/>
            </w:tcMar>
          </w:tcPr>
          <w:p w:rsidR="00000000" w:rsidP="00DA7CCD">
            <w:pPr>
              <w:pStyle w:val="BodyText"/>
              <w:rPr>
                <w:lang w:val="en-NZ"/>
              </w:rPr>
            </w:pPr>
            <w:r w:rsidRPr="00DA7CCD">
              <w:t>Recommended drying times between coats are observed</w:t>
            </w:r>
          </w:p>
        </w:tc>
      </w:tr>
      <w:tr w:rsidTr="00DA7CC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7CCD">
            <w:pPr>
              <w:pStyle w:val="BodyText"/>
              <w:rPr>
                <w:lang w:val="en-NZ"/>
              </w:rPr>
            </w:pPr>
            <w:r w:rsidRPr="00DA7CCD">
              <w:t>2.5</w:t>
            </w:r>
          </w:p>
        </w:tc>
        <w:tc>
          <w:tcPr>
            <w:tcW w:w="5610" w:type="dxa"/>
            <w:tcBorders>
              <w:top w:val="nil"/>
              <w:left w:val="nil"/>
              <w:bottom w:val="nil"/>
              <w:right w:val="nil"/>
            </w:tcBorders>
            <w:tcMar>
              <w:top w:w="0" w:type="dxa"/>
              <w:left w:w="62" w:type="dxa"/>
              <w:bottom w:w="0" w:type="dxa"/>
              <w:right w:w="62" w:type="dxa"/>
            </w:tcMar>
          </w:tcPr>
          <w:p w:rsidR="00000000" w:rsidP="00DA7CCD">
            <w:pPr>
              <w:pStyle w:val="BodyText"/>
              <w:rPr>
                <w:lang w:val="en-NZ"/>
              </w:rPr>
            </w:pPr>
            <w:r w:rsidRPr="00DA7CCD">
              <w:t xml:space="preserve">Buffing or sanding between coats, where required, is carried out according to manufacturer recommendations </w:t>
            </w:r>
          </w:p>
        </w:tc>
      </w:tr>
      <w:tr w:rsidTr="00DA7CC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7CCD">
            <w:pPr>
              <w:pStyle w:val="BodyText"/>
              <w:rPr>
                <w:lang w:val="en-NZ"/>
              </w:rPr>
            </w:pPr>
            <w:r w:rsidRPr="00DA7CCD">
              <w:t>2.6</w:t>
            </w:r>
          </w:p>
        </w:tc>
        <w:tc>
          <w:tcPr>
            <w:tcW w:w="5610" w:type="dxa"/>
            <w:tcBorders>
              <w:top w:val="nil"/>
              <w:left w:val="nil"/>
              <w:bottom w:val="nil"/>
              <w:right w:val="nil"/>
            </w:tcBorders>
            <w:tcMar>
              <w:top w:w="0" w:type="dxa"/>
              <w:left w:w="62" w:type="dxa"/>
              <w:bottom w:w="0" w:type="dxa"/>
              <w:right w:w="62" w:type="dxa"/>
            </w:tcMar>
          </w:tcPr>
          <w:p w:rsidR="00000000" w:rsidP="00DA7CCD">
            <w:pPr>
              <w:pStyle w:val="BodyText"/>
              <w:rPr>
                <w:lang w:val="en-NZ"/>
              </w:rPr>
            </w:pPr>
            <w:r w:rsidRPr="00DA7CCD">
              <w:t>Final finish meets the requirements of the job</w:t>
            </w:r>
          </w:p>
        </w:tc>
      </w:tr>
      <w:tr w:rsidTr="00DA7CC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A7CCD">
            <w:pPr>
              <w:pStyle w:val="BodyText"/>
              <w:rPr>
                <w:lang w:val="en-NZ"/>
              </w:rPr>
            </w:pPr>
            <w:r w:rsidRPr="00DA7CCD">
              <w:t>3</w:t>
            </w:r>
          </w:p>
        </w:tc>
        <w:tc>
          <w:tcPr>
            <w:tcW w:w="1962" w:type="dxa"/>
            <w:vMerge w:val="restart"/>
            <w:tcBorders>
              <w:top w:val="nil"/>
              <w:left w:val="nil"/>
              <w:bottom w:val="nil"/>
              <w:right w:val="nil"/>
            </w:tcBorders>
            <w:tcMar>
              <w:top w:w="0" w:type="dxa"/>
              <w:left w:w="62" w:type="dxa"/>
              <w:bottom w:w="0" w:type="dxa"/>
              <w:right w:w="62" w:type="dxa"/>
            </w:tcMar>
          </w:tcPr>
          <w:p w:rsidR="00000000" w:rsidP="00DA7CCD">
            <w:pPr>
              <w:pStyle w:val="BodyText"/>
              <w:rPr>
                <w:lang w:val="en-NZ"/>
              </w:rPr>
            </w:pPr>
            <w:r w:rsidRPr="00DA7CCD">
              <w:t>Complete housekeeping</w:t>
            </w:r>
          </w:p>
        </w:tc>
        <w:tc>
          <w:tcPr>
            <w:tcW w:w="770" w:type="dxa"/>
            <w:tcBorders>
              <w:top w:val="nil"/>
              <w:left w:val="nil"/>
              <w:bottom w:val="nil"/>
              <w:right w:val="nil"/>
            </w:tcBorders>
            <w:tcMar>
              <w:top w:w="0" w:type="dxa"/>
              <w:left w:w="62" w:type="dxa"/>
              <w:bottom w:w="0" w:type="dxa"/>
              <w:right w:w="62" w:type="dxa"/>
            </w:tcMar>
          </w:tcPr>
          <w:p w:rsidR="00000000" w:rsidP="00DA7CCD">
            <w:pPr>
              <w:pStyle w:val="BodyText"/>
              <w:rPr>
                <w:lang w:val="en-NZ"/>
              </w:rPr>
            </w:pPr>
            <w:r w:rsidRPr="00DA7CCD">
              <w:t>3.1</w:t>
            </w:r>
          </w:p>
        </w:tc>
        <w:tc>
          <w:tcPr>
            <w:tcW w:w="5610" w:type="dxa"/>
            <w:tcBorders>
              <w:top w:val="nil"/>
              <w:left w:val="nil"/>
              <w:bottom w:val="nil"/>
              <w:right w:val="nil"/>
            </w:tcBorders>
            <w:tcMar>
              <w:top w:w="0" w:type="dxa"/>
              <w:left w:w="62" w:type="dxa"/>
              <w:bottom w:w="0" w:type="dxa"/>
              <w:right w:w="62" w:type="dxa"/>
            </w:tcMar>
          </w:tcPr>
          <w:p w:rsidR="00000000" w:rsidP="00DA7CCD">
            <w:pPr>
              <w:pStyle w:val="BodyText"/>
              <w:rPr>
                <w:lang w:val="en-NZ"/>
              </w:rPr>
            </w:pPr>
            <w:r w:rsidRPr="00DA7CCD">
              <w:t>Unused materials are stored or recycled as required</w:t>
            </w:r>
          </w:p>
        </w:tc>
      </w:tr>
      <w:tr w:rsidTr="00DA7CC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7CCD">
            <w:pPr>
              <w:pStyle w:val="BodyText"/>
              <w:rPr>
                <w:lang w:val="en-NZ"/>
              </w:rPr>
            </w:pPr>
            <w:r w:rsidRPr="00DA7CCD">
              <w:t>3.2</w:t>
            </w:r>
          </w:p>
        </w:tc>
        <w:tc>
          <w:tcPr>
            <w:tcW w:w="5610" w:type="dxa"/>
            <w:tcBorders>
              <w:top w:val="nil"/>
              <w:left w:val="nil"/>
              <w:bottom w:val="nil"/>
              <w:right w:val="nil"/>
            </w:tcBorders>
            <w:tcMar>
              <w:top w:w="0" w:type="dxa"/>
              <w:left w:w="62" w:type="dxa"/>
              <w:bottom w:w="0" w:type="dxa"/>
              <w:right w:w="62" w:type="dxa"/>
            </w:tcMar>
          </w:tcPr>
          <w:p w:rsidR="00000000" w:rsidP="00DA7CCD">
            <w:pPr>
              <w:pStyle w:val="BodyText"/>
              <w:rPr>
                <w:lang w:val="en-NZ"/>
              </w:rPr>
            </w:pPr>
            <w:r w:rsidRPr="00DA7CCD">
              <w:t>Tools and equipment are cleaned and stored appropriately</w:t>
            </w:r>
          </w:p>
        </w:tc>
      </w:tr>
      <w:tr w:rsidTr="00DA7CC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7CCD">
            <w:pPr>
              <w:pStyle w:val="BodyText"/>
              <w:rPr>
                <w:lang w:val="en-NZ"/>
              </w:rPr>
            </w:pPr>
            <w:r w:rsidRPr="00DA7CCD">
              <w:t>3.3</w:t>
            </w:r>
          </w:p>
        </w:tc>
        <w:tc>
          <w:tcPr>
            <w:tcW w:w="5610" w:type="dxa"/>
            <w:tcBorders>
              <w:top w:val="nil"/>
              <w:left w:val="nil"/>
              <w:bottom w:val="nil"/>
              <w:right w:val="nil"/>
            </w:tcBorders>
            <w:tcMar>
              <w:top w:w="0" w:type="dxa"/>
              <w:left w:w="62" w:type="dxa"/>
              <w:bottom w:w="0" w:type="dxa"/>
              <w:right w:w="62" w:type="dxa"/>
            </w:tcMar>
          </w:tcPr>
          <w:p w:rsidR="00000000" w:rsidP="00DA7CCD">
            <w:pPr>
              <w:pStyle w:val="BodyText"/>
              <w:rPr>
                <w:lang w:val="en-NZ"/>
              </w:rPr>
            </w:pPr>
            <w:r w:rsidRPr="00DA7CCD">
              <w:t>Work area is cleaned and rubbish disposed of appropriately</w:t>
            </w:r>
          </w:p>
        </w:tc>
      </w:tr>
      <w:tr w:rsidTr="00DA7CC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7CCD">
            <w:pPr>
              <w:pStyle w:val="BodyText"/>
              <w:rPr>
                <w:lang w:val="en-NZ"/>
              </w:rPr>
            </w:pPr>
            <w:r w:rsidRPr="00DA7CCD">
              <w:t>3.4</w:t>
            </w:r>
          </w:p>
        </w:tc>
        <w:tc>
          <w:tcPr>
            <w:tcW w:w="5610" w:type="dxa"/>
            <w:tcBorders>
              <w:top w:val="nil"/>
              <w:left w:val="nil"/>
              <w:bottom w:val="nil"/>
              <w:right w:val="nil"/>
            </w:tcBorders>
            <w:tcMar>
              <w:top w:w="0" w:type="dxa"/>
              <w:left w:w="62" w:type="dxa"/>
              <w:bottom w:w="0" w:type="dxa"/>
              <w:right w:w="62" w:type="dxa"/>
            </w:tcMar>
          </w:tcPr>
          <w:p w:rsidR="00000000" w:rsidRPr="00DA7CCD" w:rsidP="00DA7CCD">
            <w:pPr>
              <w:pStyle w:val="BodyText"/>
            </w:pPr>
            <w:r w:rsidRPr="00DA7CCD">
              <w:t>Workplace documentation is completed</w:t>
            </w:r>
          </w:p>
        </w:tc>
      </w:tr>
    </w:tbl>
    <w:p w:rsidR="00000000" w:rsidRPr="00DA7CCD" w:rsidP="00DA7CCD">
      <w:pPr>
        <w:pStyle w:val="BodyText"/>
      </w:pPr>
    </w:p>
    <w:p w:rsidR="00000000" w:rsidRPr="00DA7CCD" w:rsidP="00DA7CCD">
      <w:pPr>
        <w:pStyle w:val="AllowPageBreak"/>
      </w:pPr>
    </w:p>
    <w:p w:rsidR="00000000" w:rsidRPr="00DA7CCD" w:rsidP="00DA7CCD">
      <w:pPr>
        <w:pStyle w:val="Heading1"/>
      </w:pPr>
      <w:bookmarkStart w:id="7" w:name="O_636586"/>
      <w:bookmarkEnd w:id="7"/>
      <w:r w:rsidRPr="00DA7CCD">
        <w:t>Foundation Skills</w:t>
      </w:r>
    </w:p>
    <w:p w:rsidR="000549A4" w:rsidP="00DA7CCD">
      <w:pPr>
        <w:pStyle w:val="BodyText"/>
      </w:pPr>
      <w:r w:rsidRPr="00DA7CCD">
        <w:t>Foundation skills essential to performance are explicit in the performance criteria of this unit of competency. Detail on appropriate performance levels for each furnishing unit of competency in reading, writing, oral communication and numeracy utilising t</w:t>
      </w:r>
      <w:r w:rsidRPr="00DA7CCD">
        <w:t xml:space="preserve">he Australian Core Skills Framework (ACSF) are provided in the Furnishing Training Package Implementation Guide. </w:t>
      </w:r>
    </w:p>
    <w:p w:rsidR="000549A4" w:rsidP="00DA7CCD">
      <w:pPr>
        <w:pStyle w:val="BodyText"/>
      </w:pPr>
    </w:p>
    <w:p w:rsidR="00000000" w:rsidRPr="00DA7CCD" w:rsidP="00DA7CCD">
      <w:pPr>
        <w:pStyle w:val="Heading1"/>
      </w:pPr>
      <w:bookmarkStart w:id="8" w:name="O_636585"/>
      <w:bookmarkEnd w:id="8"/>
      <w:r w:rsidRPr="00DA7CCD">
        <w:t>Range of Conditions</w:t>
      </w:r>
    </w:p>
    <w:tbl>
      <w:tblPr>
        <w:tblW w:w="0" w:type="auto"/>
        <w:tblLayout w:type="fixed"/>
        <w:tblCellMar>
          <w:left w:w="62" w:type="dxa"/>
          <w:right w:w="62" w:type="dxa"/>
        </w:tblCellMar>
        <w:tblLook w:val="0000"/>
      </w:tblPr>
      <w:tblGrid>
        <w:gridCol w:w="2760"/>
        <w:gridCol w:w="6312"/>
      </w:tblGrid>
      <w:tr w:rsidTr="00DA7CC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A7CCD">
            <w:pPr>
              <w:pStyle w:val="BodyText"/>
              <w:rPr>
                <w:lang w:val="en-NZ"/>
              </w:rPr>
            </w:pPr>
            <w:r w:rsidRPr="00DA7CCD">
              <w:t>Specifies different work environments and conditions that may affect performance. Essential operating co</w:t>
            </w:r>
            <w:r w:rsidRPr="00DA7CCD">
              <w:t>nditions that may be present (depending on the work situation, needs of the candidate, accessibility of the item, and local industry and regional contexts) are included. Range is restricted to essential operating conditions and any other variables essentia</w:t>
            </w:r>
            <w:r w:rsidRPr="00DA7CCD">
              <w:t>l to the work environment.</w:t>
            </w:r>
          </w:p>
        </w:tc>
      </w:tr>
      <w:tr w:rsidTr="00DA7CC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A7CCD">
            <w:pPr>
              <w:pStyle w:val="BodyText"/>
              <w:rPr>
                <w:lang w:val="en-NZ"/>
              </w:rPr>
            </w:pPr>
            <w:r w:rsidRPr="00DA7CCD">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DA7CCD" w:rsidP="00DA7CCD">
            <w:pPr>
              <w:pStyle w:val="ListBullet"/>
            </w:pPr>
            <w:r w:rsidRPr="00DA7CCD">
              <w:t xml:space="preserve">WHS requirements, including legislation, building codes, material safety management systems, hazardous and dangerous goods codes and local safe operating procedures or equivalent </w:t>
            </w:r>
          </w:p>
          <w:p w:rsidR="00000000" w:rsidRPr="00DA7CCD" w:rsidP="00DA7CCD">
            <w:pPr>
              <w:pStyle w:val="ListBullet"/>
            </w:pPr>
            <w:r w:rsidRPr="00DA7CCD">
              <w:t xml:space="preserve">work is carried out in accordance with legislative obligations, environmental legislation, relevant health regulations, manual handling procedures and organisation insurance requirements </w:t>
            </w:r>
          </w:p>
          <w:p w:rsidR="00000000" w:rsidP="00DA7CCD">
            <w:pPr>
              <w:pStyle w:val="ListBullet"/>
              <w:rPr>
                <w:lang w:val="en-NZ"/>
              </w:rPr>
            </w:pPr>
            <w:r w:rsidRPr="00DA7CCD">
              <w:t xml:space="preserve">work requires individuals to demonstrate some discretion, judgement </w:t>
            </w:r>
            <w:r w:rsidRPr="00DA7CCD">
              <w:t xml:space="preserve">and problem solving </w:t>
            </w:r>
          </w:p>
        </w:tc>
      </w:tr>
      <w:tr w:rsidTr="00DA7CC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A7CCD">
            <w:pPr>
              <w:pStyle w:val="BodyText"/>
              <w:rPr>
                <w:lang w:val="en-NZ"/>
              </w:rPr>
            </w:pPr>
            <w:r w:rsidRPr="00DA7CCD">
              <w:rPr>
                <w:rStyle w:val="SpecialBold"/>
              </w:rPr>
              <w:t>Cork floor coating materials include:</w:t>
            </w:r>
          </w:p>
        </w:tc>
        <w:tc>
          <w:tcPr>
            <w:tcW w:w="6312" w:type="dxa"/>
            <w:tcBorders>
              <w:top w:val="nil"/>
              <w:left w:val="nil"/>
              <w:bottom w:val="nil"/>
              <w:right w:val="nil"/>
            </w:tcBorders>
            <w:tcMar>
              <w:top w:w="0" w:type="dxa"/>
              <w:left w:w="62" w:type="dxa"/>
              <w:bottom w:w="0" w:type="dxa"/>
              <w:right w:w="62" w:type="dxa"/>
            </w:tcMar>
          </w:tcPr>
          <w:p w:rsidR="00000000" w:rsidRPr="00DA7CCD" w:rsidP="00DA7CCD">
            <w:pPr>
              <w:pStyle w:val="ListBullet"/>
            </w:pPr>
            <w:r w:rsidRPr="00DA7CCD">
              <w:t>waxes</w:t>
            </w:r>
          </w:p>
          <w:p w:rsidR="00000000" w:rsidRPr="00DA7CCD" w:rsidP="00DA7CCD">
            <w:pPr>
              <w:pStyle w:val="ListBullet"/>
            </w:pPr>
            <w:r w:rsidRPr="00DA7CCD">
              <w:t xml:space="preserve">oils </w:t>
            </w:r>
          </w:p>
          <w:p w:rsidR="00000000" w:rsidRPr="00DA7CCD" w:rsidP="00DA7CCD">
            <w:pPr>
              <w:pStyle w:val="ListBullet"/>
            </w:pPr>
            <w:r w:rsidRPr="00DA7CCD">
              <w:t>oleoresins</w:t>
            </w:r>
          </w:p>
          <w:p w:rsidR="00000000" w:rsidRPr="00DA7CCD" w:rsidP="00DA7CCD">
            <w:pPr>
              <w:pStyle w:val="ListBullet"/>
            </w:pPr>
            <w:r w:rsidRPr="00DA7CCD">
              <w:t xml:space="preserve">one-can methane oils </w:t>
            </w:r>
          </w:p>
          <w:p w:rsidR="00000000" w:rsidRPr="00DA7CCD" w:rsidP="00DA7CCD">
            <w:pPr>
              <w:pStyle w:val="ListBullet"/>
            </w:pPr>
            <w:r w:rsidRPr="00DA7CCD">
              <w:t>resin solutions</w:t>
            </w:r>
          </w:p>
          <w:p w:rsidR="00000000" w:rsidRPr="00DA7CCD" w:rsidP="00DA7CCD">
            <w:pPr>
              <w:pStyle w:val="ListBullet"/>
            </w:pPr>
            <w:r w:rsidRPr="00DA7CCD">
              <w:t xml:space="preserve">epoxy resins </w:t>
            </w:r>
          </w:p>
          <w:p w:rsidR="00000000" w:rsidRPr="00DA7CCD" w:rsidP="00DA7CCD">
            <w:pPr>
              <w:pStyle w:val="ListBullet"/>
            </w:pPr>
            <w:r w:rsidRPr="00DA7CCD">
              <w:t xml:space="preserve">two-can epoxy resins </w:t>
            </w:r>
          </w:p>
          <w:p w:rsidR="00000000" w:rsidRPr="00DA7CCD" w:rsidP="00DA7CCD">
            <w:pPr>
              <w:pStyle w:val="ListBullet"/>
            </w:pPr>
            <w:r w:rsidRPr="00DA7CCD">
              <w:t xml:space="preserve">two-can polyurethanes </w:t>
            </w:r>
          </w:p>
          <w:p w:rsidR="00000000" w:rsidRPr="00DA7CCD" w:rsidP="00DA7CCD">
            <w:pPr>
              <w:pStyle w:val="ListBullet"/>
            </w:pPr>
            <w:r w:rsidRPr="00DA7CCD">
              <w:t xml:space="preserve">moisture curing polyurethanes </w:t>
            </w:r>
          </w:p>
          <w:p w:rsidR="00000000" w:rsidP="00DA7CCD">
            <w:pPr>
              <w:pStyle w:val="ListBullet"/>
              <w:rPr>
                <w:lang w:val="en-NZ"/>
              </w:rPr>
            </w:pPr>
            <w:r w:rsidRPr="00DA7CCD">
              <w:t>water-based polyurethanes</w:t>
            </w:r>
          </w:p>
        </w:tc>
      </w:tr>
      <w:tr w:rsidTr="00DA7CC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A7CCD">
            <w:pPr>
              <w:pStyle w:val="BodyText"/>
              <w:rPr>
                <w:lang w:val="en-NZ"/>
              </w:rPr>
            </w:pPr>
            <w:r w:rsidRPr="00DA7CCD">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DA7CCD" w:rsidP="00DA7CCD">
            <w:pPr>
              <w:pStyle w:val="ListBullet"/>
            </w:pPr>
            <w:r w:rsidRPr="00DA7CCD">
              <w:t xml:space="preserve">orbital sander </w:t>
            </w:r>
          </w:p>
          <w:p w:rsidR="00000000" w:rsidRPr="00DA7CCD" w:rsidP="00DA7CCD">
            <w:pPr>
              <w:pStyle w:val="ListBullet"/>
            </w:pPr>
            <w:r w:rsidRPr="00DA7CCD">
              <w:t>rotary sander</w:t>
            </w:r>
          </w:p>
          <w:p w:rsidR="00000000" w:rsidRPr="00DA7CCD" w:rsidP="00DA7CCD">
            <w:pPr>
              <w:pStyle w:val="ListBullet"/>
            </w:pPr>
            <w:r w:rsidRPr="00DA7CCD">
              <w:t>hand sander</w:t>
            </w:r>
          </w:p>
          <w:p w:rsidR="00000000" w:rsidRPr="00DA7CCD" w:rsidP="00DA7CCD">
            <w:pPr>
              <w:pStyle w:val="ListBullet"/>
            </w:pPr>
            <w:r w:rsidRPr="00DA7CCD">
              <w:t>vacuum cleaner</w:t>
            </w:r>
          </w:p>
          <w:p w:rsidR="00000000" w:rsidRPr="00DA7CCD" w:rsidP="00DA7CCD">
            <w:pPr>
              <w:pStyle w:val="ListBullet"/>
            </w:pPr>
            <w:r w:rsidRPr="00DA7CCD">
              <w:t xml:space="preserve">brushes </w:t>
            </w:r>
          </w:p>
          <w:p w:rsidR="00000000" w:rsidRPr="00DA7CCD" w:rsidP="00DA7CCD">
            <w:pPr>
              <w:pStyle w:val="ListBullet"/>
            </w:pPr>
            <w:r w:rsidRPr="00DA7CCD">
              <w:t>applicators</w:t>
            </w:r>
          </w:p>
          <w:p w:rsidR="00000000" w:rsidRPr="00DA7CCD" w:rsidP="00DA7CCD">
            <w:pPr>
              <w:pStyle w:val="ListBullet"/>
            </w:pPr>
            <w:r w:rsidRPr="00DA7CCD">
              <w:t xml:space="preserve">rollers </w:t>
            </w:r>
          </w:p>
          <w:p w:rsidR="00000000" w:rsidRPr="00DA7CCD" w:rsidP="00DA7CCD">
            <w:pPr>
              <w:pStyle w:val="ListBullet"/>
            </w:pPr>
            <w:r w:rsidRPr="00DA7CCD">
              <w:t xml:space="preserve">roller tray </w:t>
            </w:r>
          </w:p>
          <w:p w:rsidR="00000000" w:rsidRPr="00DA7CCD" w:rsidP="00DA7CCD">
            <w:pPr>
              <w:pStyle w:val="ListBullet"/>
            </w:pPr>
            <w:r w:rsidRPr="00DA7CCD">
              <w:t xml:space="preserve">hammer </w:t>
            </w:r>
          </w:p>
          <w:p w:rsidR="00000000" w:rsidRPr="00DA7CCD" w:rsidP="00DA7CCD">
            <w:pPr>
              <w:pStyle w:val="ListBullet"/>
            </w:pPr>
            <w:r w:rsidRPr="00DA7CCD">
              <w:t xml:space="preserve">nail punch </w:t>
            </w:r>
          </w:p>
          <w:p w:rsidR="00000000" w:rsidP="00DA7CCD">
            <w:pPr>
              <w:pStyle w:val="ListBullet"/>
              <w:rPr>
                <w:lang w:val="en-NZ"/>
              </w:rPr>
            </w:pPr>
            <w:r w:rsidRPr="00DA7CCD">
              <w:t>spatula</w:t>
            </w:r>
          </w:p>
        </w:tc>
      </w:tr>
      <w:tr w:rsidTr="00DA7CC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A7CCD">
            <w:pPr>
              <w:pStyle w:val="BodyText"/>
              <w:rPr>
                <w:lang w:val="en-NZ"/>
              </w:rPr>
            </w:pPr>
            <w:r w:rsidRPr="00DA7CCD">
              <w:rPr>
                <w:rStyle w:val="SpecialBold"/>
              </w:rPr>
              <w:t>Surface inspection includes:</w:t>
            </w:r>
          </w:p>
        </w:tc>
        <w:tc>
          <w:tcPr>
            <w:tcW w:w="6312" w:type="dxa"/>
            <w:tcBorders>
              <w:top w:val="nil"/>
              <w:left w:val="nil"/>
              <w:bottom w:val="nil"/>
              <w:right w:val="nil"/>
            </w:tcBorders>
            <w:tcMar>
              <w:top w:w="0" w:type="dxa"/>
              <w:left w:w="62" w:type="dxa"/>
              <w:bottom w:w="0" w:type="dxa"/>
              <w:right w:w="62" w:type="dxa"/>
            </w:tcMar>
          </w:tcPr>
          <w:p w:rsidR="00000000" w:rsidP="00DA7CCD">
            <w:pPr>
              <w:pStyle w:val="ListBullet"/>
              <w:rPr>
                <w:lang w:val="en-NZ"/>
              </w:rPr>
            </w:pPr>
            <w:r w:rsidRPr="00DA7CCD">
              <w:t>ensuring that surface is free from dust and debris, moisture content is acceptable and stable, and any preservatives, protective coatings or other contaminants are adequately removed</w:t>
            </w:r>
          </w:p>
        </w:tc>
      </w:tr>
      <w:tr w:rsidTr="00DA7CC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A7CCD">
            <w:pPr>
              <w:pStyle w:val="BodyText"/>
              <w:rPr>
                <w:lang w:val="en-NZ"/>
              </w:rPr>
            </w:pPr>
            <w:r w:rsidRPr="00DA7CCD">
              <w:rPr>
                <w:rStyle w:val="SpecialBold"/>
              </w:rPr>
              <w:t>Work sequence includes:</w:t>
            </w:r>
          </w:p>
        </w:tc>
        <w:tc>
          <w:tcPr>
            <w:tcW w:w="6312" w:type="dxa"/>
            <w:tcBorders>
              <w:top w:val="nil"/>
              <w:left w:val="nil"/>
              <w:bottom w:val="nil"/>
              <w:right w:val="nil"/>
            </w:tcBorders>
            <w:tcMar>
              <w:top w:w="0" w:type="dxa"/>
              <w:left w:w="62" w:type="dxa"/>
              <w:bottom w:w="0" w:type="dxa"/>
              <w:right w:w="62" w:type="dxa"/>
            </w:tcMar>
          </w:tcPr>
          <w:p w:rsidR="00000000" w:rsidRPr="00DA7CCD" w:rsidP="00DA7CCD">
            <w:pPr>
              <w:pStyle w:val="ListBullet"/>
            </w:pPr>
            <w:r w:rsidRPr="00DA7CCD">
              <w:t xml:space="preserve">preparation </w:t>
            </w:r>
          </w:p>
          <w:p w:rsidR="00000000" w:rsidRPr="00DA7CCD" w:rsidP="00DA7CCD">
            <w:pPr>
              <w:pStyle w:val="ListBullet"/>
            </w:pPr>
            <w:r w:rsidRPr="00DA7CCD">
              <w:t xml:space="preserve">inspection </w:t>
            </w:r>
          </w:p>
          <w:p w:rsidR="00000000" w:rsidRPr="00DA7CCD" w:rsidP="00DA7CCD">
            <w:pPr>
              <w:pStyle w:val="ListBullet"/>
            </w:pPr>
            <w:r w:rsidRPr="00DA7CCD">
              <w:t>coating applications a</w:t>
            </w:r>
            <w:r w:rsidRPr="00DA7CCD">
              <w:t xml:space="preserve">nd intermediate steps </w:t>
            </w:r>
          </w:p>
          <w:p w:rsidR="00000000" w:rsidRPr="00DA7CCD" w:rsidP="00DA7CCD">
            <w:pPr>
              <w:pStyle w:val="ListBullet"/>
            </w:pPr>
            <w:r w:rsidRPr="00DA7CCD">
              <w:t xml:space="preserve">finalisation </w:t>
            </w:r>
          </w:p>
          <w:p w:rsidR="00000000" w:rsidP="00DA7CCD">
            <w:pPr>
              <w:pStyle w:val="ListBullet"/>
              <w:rPr>
                <w:lang w:val="en-NZ"/>
              </w:rPr>
            </w:pPr>
            <w:r w:rsidRPr="00DA7CCD">
              <w:t>acceptance inspection</w:t>
            </w:r>
          </w:p>
        </w:tc>
      </w:tr>
      <w:tr w:rsidTr="00DA7CC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A7CCD">
            <w:pPr>
              <w:pStyle w:val="BodyText"/>
              <w:rPr>
                <w:lang w:val="en-NZ"/>
              </w:rPr>
            </w:pPr>
            <w:r w:rsidRPr="00DA7CCD">
              <w:rPr>
                <w:rStyle w:val="SpecialBold"/>
              </w:rPr>
              <w:t>WHS requirements include:</w:t>
            </w:r>
          </w:p>
        </w:tc>
        <w:tc>
          <w:tcPr>
            <w:tcW w:w="6312" w:type="dxa"/>
            <w:tcBorders>
              <w:top w:val="nil"/>
              <w:left w:val="nil"/>
              <w:bottom w:val="nil"/>
              <w:right w:val="nil"/>
            </w:tcBorders>
            <w:tcMar>
              <w:top w:w="0" w:type="dxa"/>
              <w:left w:w="62" w:type="dxa"/>
              <w:bottom w:w="0" w:type="dxa"/>
              <w:right w:w="62" w:type="dxa"/>
            </w:tcMar>
          </w:tcPr>
          <w:p w:rsidR="00000000" w:rsidRPr="00DA7CCD" w:rsidP="00DA7CCD">
            <w:pPr>
              <w:pStyle w:val="ListBullet"/>
            </w:pPr>
            <w:r w:rsidRPr="00DA7CCD">
              <w:t>isolation processes, including barriers, tapes and entry access controls</w:t>
            </w:r>
          </w:p>
          <w:p w:rsidR="00000000" w:rsidP="00DA7CCD">
            <w:pPr>
              <w:pStyle w:val="ListBullet"/>
              <w:rPr>
                <w:lang w:val="en-NZ"/>
              </w:rPr>
            </w:pPr>
            <w:r w:rsidRPr="00DA7CCD">
              <w:t>breathing support and ventilation extraction systems</w:t>
            </w:r>
          </w:p>
        </w:tc>
      </w:tr>
      <w:tr w:rsidTr="00DA7CC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A7CCD">
            <w:pPr>
              <w:pStyle w:val="BodyText"/>
              <w:rPr>
                <w:lang w:val="en-NZ"/>
              </w:rPr>
            </w:pPr>
            <w:r w:rsidRPr="00DA7CCD">
              <w:rPr>
                <w:rStyle w:val="SpecialBold"/>
              </w:rPr>
              <w:t>Application methods include:</w:t>
            </w:r>
          </w:p>
        </w:tc>
        <w:tc>
          <w:tcPr>
            <w:tcW w:w="6312" w:type="dxa"/>
            <w:tcBorders>
              <w:top w:val="nil"/>
              <w:left w:val="nil"/>
              <w:bottom w:val="nil"/>
              <w:right w:val="nil"/>
            </w:tcBorders>
            <w:tcMar>
              <w:top w:w="0" w:type="dxa"/>
              <w:left w:w="62" w:type="dxa"/>
              <w:bottom w:w="0" w:type="dxa"/>
              <w:right w:w="62" w:type="dxa"/>
            </w:tcMar>
          </w:tcPr>
          <w:p w:rsidR="00000000" w:rsidRPr="00DA7CCD" w:rsidP="00DA7CCD">
            <w:pPr>
              <w:pStyle w:val="ListBullet"/>
            </w:pPr>
            <w:r w:rsidRPr="00DA7CCD">
              <w:t xml:space="preserve">rags </w:t>
            </w:r>
          </w:p>
          <w:p w:rsidR="00000000" w:rsidRPr="00DA7CCD" w:rsidP="00DA7CCD">
            <w:pPr>
              <w:pStyle w:val="ListBullet"/>
            </w:pPr>
            <w:r w:rsidRPr="00DA7CCD">
              <w:t xml:space="preserve">brushes </w:t>
            </w:r>
          </w:p>
          <w:p w:rsidR="00000000" w:rsidRPr="00DA7CCD" w:rsidP="00DA7CCD">
            <w:pPr>
              <w:pStyle w:val="ListBullet"/>
            </w:pPr>
            <w:r w:rsidRPr="00DA7CCD">
              <w:t xml:space="preserve">rollers </w:t>
            </w:r>
          </w:p>
          <w:p w:rsidR="00000000" w:rsidRPr="00DA7CCD" w:rsidP="00DA7CCD">
            <w:pPr>
              <w:pStyle w:val="ListBullet"/>
            </w:pPr>
            <w:r w:rsidRPr="00DA7CCD">
              <w:t xml:space="preserve">applicators </w:t>
            </w:r>
          </w:p>
          <w:p w:rsidR="00000000" w:rsidP="00DA7CCD">
            <w:pPr>
              <w:pStyle w:val="ListBullet"/>
              <w:rPr>
                <w:lang w:val="en-NZ"/>
              </w:rPr>
            </w:pPr>
            <w:r w:rsidRPr="00DA7CCD">
              <w:t>spatula</w:t>
            </w:r>
          </w:p>
        </w:tc>
      </w:tr>
      <w:tr w:rsidTr="00DA7CC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A7CCD">
            <w:pPr>
              <w:pStyle w:val="BodyText"/>
              <w:rPr>
                <w:lang w:val="en-NZ"/>
              </w:rPr>
            </w:pPr>
            <w:r w:rsidRPr="00DA7CCD">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DA7CCD">
            <w:pPr>
              <w:pStyle w:val="ListBullet"/>
              <w:rPr>
                <w:lang w:val="en-NZ"/>
              </w:rPr>
            </w:pPr>
            <w:r w:rsidRPr="00DA7CCD">
              <w:t xml:space="preserve">that prescribed under legislation, regulations and enterprise policies and practices </w:t>
            </w:r>
          </w:p>
        </w:tc>
      </w:tr>
      <w:tr w:rsidTr="00DA7CC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DA7CCD" w:rsidP="00DA7CCD">
            <w:pPr>
              <w:pStyle w:val="BodyText"/>
            </w:pPr>
            <w:r w:rsidRPr="00DA7CCD">
              <w:rPr>
                <w:rStyle w:val="SpecialBold"/>
              </w:rPr>
              <w:t>Information and procedures include:</w:t>
            </w:r>
          </w:p>
          <w:p w:rsidR="00000000" w:rsidP="00DA7CCD">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DA7CCD" w:rsidP="00DA7CCD">
            <w:pPr>
              <w:pStyle w:val="ListBullet"/>
            </w:pPr>
            <w:r w:rsidRPr="00DA7CCD">
              <w:t xml:space="preserve">workplace procedures relating to the use of tools and equipment </w:t>
            </w:r>
          </w:p>
          <w:p w:rsidR="00000000" w:rsidRPr="00DA7CCD" w:rsidP="00DA7CCD">
            <w:pPr>
              <w:pStyle w:val="ListBullet"/>
            </w:pPr>
            <w:r w:rsidRPr="00DA7CCD">
              <w:t xml:space="preserve">work instructions, including job sheets, cutting lists, plans, drawings and designs </w:t>
            </w:r>
          </w:p>
          <w:p w:rsidR="00000000" w:rsidRPr="00DA7CCD" w:rsidP="00DA7CCD">
            <w:pPr>
              <w:pStyle w:val="ListBullet"/>
            </w:pPr>
            <w:r w:rsidRPr="00DA7CCD">
              <w:t xml:space="preserve">workplace procedures relating to reporting and communication </w:t>
            </w:r>
          </w:p>
          <w:p w:rsidR="00000000" w:rsidRPr="00DA7CCD" w:rsidP="00DA7CCD">
            <w:pPr>
              <w:pStyle w:val="ListBullet"/>
            </w:pPr>
            <w:r w:rsidRPr="00DA7CCD">
              <w:t xml:space="preserve">manufacturer specifications and operational </w:t>
            </w:r>
            <w:r w:rsidRPr="00DA7CCD">
              <w:t xml:space="preserve">procedures </w:t>
            </w:r>
          </w:p>
        </w:tc>
      </w:tr>
    </w:tbl>
    <w:p w:rsidR="00000000" w:rsidRPr="00DA7CCD" w:rsidP="00DA7CCD">
      <w:pPr>
        <w:pStyle w:val="BodyText"/>
      </w:pPr>
    </w:p>
    <w:p w:rsidR="00000000" w:rsidRPr="00DA7CCD" w:rsidP="00DA7CCD">
      <w:pPr>
        <w:pStyle w:val="AllowPageBreak"/>
      </w:pPr>
    </w:p>
    <w:p w:rsidR="00000000" w:rsidRPr="00DA7CCD" w:rsidP="00DA7CCD">
      <w:pPr>
        <w:pStyle w:val="Heading1"/>
      </w:pPr>
      <w:bookmarkStart w:id="9" w:name="O_636584"/>
      <w:bookmarkEnd w:id="9"/>
      <w:r w:rsidRPr="00DA7CCD">
        <w:t>Unit Mapping Information</w:t>
      </w:r>
    </w:p>
    <w:p w:rsidR="00000000" w:rsidRPr="00DA7CCD" w:rsidP="00DA7CCD">
      <w:pPr>
        <w:pStyle w:val="BodyText"/>
      </w:pPr>
      <w:r w:rsidRPr="00DA7CCD">
        <w:t>Supersedes and is equivalent to LMFFL3605A Apply finishes to cork flooring</w:t>
      </w:r>
    </w:p>
    <w:p w:rsidR="00000000" w:rsidRPr="00DA7CCD" w:rsidP="00DA7CCD">
      <w:pPr>
        <w:pStyle w:val="AllowPageBreak"/>
      </w:pPr>
    </w:p>
    <w:p w:rsidR="00000000" w:rsidRPr="00DA7CCD" w:rsidP="00DA7CCD">
      <w:pPr>
        <w:pStyle w:val="Heading1"/>
      </w:pPr>
      <w:bookmarkStart w:id="10" w:name="O_636577"/>
      <w:bookmarkEnd w:id="10"/>
      <w:r w:rsidRPr="00DA7CCD">
        <w:t>Links</w:t>
      </w:r>
    </w:p>
    <w:p w:rsidR="00000000" w:rsidRPr="00DA7CCD" w:rsidP="00DA7CCD">
      <w:pPr>
        <w:pStyle w:val="BodyText"/>
      </w:pPr>
      <w:r w:rsidRPr="00DA7CCD">
        <w:t>Companion Volume implementation guides are found in VETNet - https://vetnet.education.gov.au/Pages/Tra</w:t>
      </w:r>
      <w:r w:rsidRPr="00DA7CCD">
        <w:t>iningDocs.aspx?q=0601ab95-583a-4e93-b2d4-cfb27b03ed73</w:t>
      </w:r>
    </w:p>
    <w:p w:rsidR="00000000" w:rsidRPr="00DA7CCD" w:rsidP="00DA7CCD"/>
    <w:sectPr w:rsidSect="00DA7C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C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CCD" w:rsidRPr="000549A4" w:rsidP="000549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C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9A4" w:rsidP="00DA7C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549A4" w:rsidP="00DA7CCD">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549A4" w:rsidP="00DA7C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C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9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7CCD" w:rsidRPr="000549A4" w:rsidP="000549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C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9A4" w:rsidRPr="002D2AF8" w:rsidP="00DA7CCD">
    <w:pPr>
      <w:pStyle w:val="Header"/>
      <w:framePr w:wrap="around"/>
    </w:pPr>
    <w:r>
      <w:fldChar w:fldCharType="begin"/>
    </w:r>
    <w:r>
      <w:instrText xml:space="preserve"> TITLE   \* MERGEFORMAT </w:instrText>
    </w:r>
    <w:r>
      <w:fldChar w:fldCharType="separate"/>
    </w:r>
    <w:r>
      <w:t>MSFFL3046 Apply finishes to cork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0549A4" w:rsidP="00DA7C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71A0A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9025C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7C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7CCD"/>
    <w:pPr>
      <w:spacing w:before="360" w:after="60"/>
      <w:outlineLvl w:val="0"/>
    </w:pPr>
    <w:rPr>
      <w:sz w:val="32"/>
    </w:rPr>
  </w:style>
  <w:style w:type="paragraph" w:styleId="Heading2">
    <w:name w:val="heading 2"/>
    <w:basedOn w:val="HeadingBase"/>
    <w:next w:val="BodyText"/>
    <w:link w:val="Heading2Char"/>
    <w:qFormat/>
    <w:rsid w:val="00DA7CCD"/>
    <w:pPr>
      <w:keepLines/>
      <w:spacing w:before="240" w:after="120"/>
      <w:outlineLvl w:val="1"/>
    </w:pPr>
    <w:rPr>
      <w:sz w:val="28"/>
      <w:szCs w:val="40"/>
    </w:rPr>
  </w:style>
  <w:style w:type="paragraph" w:styleId="Heading3">
    <w:name w:val="heading 3"/>
    <w:basedOn w:val="HeadingBase"/>
    <w:next w:val="BodyText"/>
    <w:link w:val="Heading3Char"/>
    <w:qFormat/>
    <w:rsid w:val="00DA7CCD"/>
    <w:pPr>
      <w:spacing w:before="180" w:after="120"/>
      <w:outlineLvl w:val="2"/>
    </w:pPr>
    <w:rPr>
      <w:spacing w:val="-10"/>
      <w:kern w:val="32"/>
    </w:rPr>
  </w:style>
  <w:style w:type="paragraph" w:styleId="Heading4">
    <w:name w:val="heading 4"/>
    <w:basedOn w:val="HeadingBase"/>
    <w:next w:val="BodyText"/>
    <w:link w:val="Heading4Char"/>
    <w:qFormat/>
    <w:rsid w:val="00DA7CCD"/>
    <w:pPr>
      <w:spacing w:before="160" w:after="120"/>
      <w:outlineLvl w:val="3"/>
    </w:pPr>
    <w:rPr>
      <w:sz w:val="22"/>
    </w:rPr>
  </w:style>
  <w:style w:type="paragraph" w:styleId="Heading5">
    <w:name w:val="heading 5"/>
    <w:basedOn w:val="HeadingBase"/>
    <w:next w:val="Normal"/>
    <w:link w:val="Heading5Char"/>
    <w:qFormat/>
    <w:rsid w:val="00DA7CCD"/>
    <w:pPr>
      <w:spacing w:before="80"/>
      <w:outlineLvl w:val="4"/>
    </w:pPr>
    <w:rPr>
      <w:color w:val="918585"/>
      <w:sz w:val="20"/>
    </w:rPr>
  </w:style>
  <w:style w:type="paragraph" w:styleId="Heading6">
    <w:name w:val="heading 6"/>
    <w:basedOn w:val="HeadingBase"/>
    <w:next w:val="Normal"/>
    <w:link w:val="Heading6Char"/>
    <w:qFormat/>
    <w:rsid w:val="00DA7CCD"/>
    <w:pPr>
      <w:spacing w:before="60"/>
      <w:outlineLvl w:val="5"/>
    </w:pPr>
    <w:rPr>
      <w:color w:val="918585"/>
      <w:sz w:val="20"/>
    </w:rPr>
  </w:style>
  <w:style w:type="paragraph" w:styleId="Heading7">
    <w:name w:val="heading 7"/>
    <w:basedOn w:val="Normal"/>
    <w:next w:val="Normal"/>
    <w:link w:val="Heading7Char"/>
    <w:qFormat/>
    <w:rsid w:val="00DA7CCD"/>
    <w:pPr>
      <w:ind w:left="720"/>
      <w:outlineLvl w:val="6"/>
    </w:pPr>
    <w:rPr>
      <w:i/>
    </w:rPr>
  </w:style>
  <w:style w:type="paragraph" w:styleId="Heading8">
    <w:name w:val="heading 8"/>
    <w:basedOn w:val="Normal"/>
    <w:next w:val="Normal"/>
    <w:link w:val="Heading8Char"/>
    <w:qFormat/>
    <w:rsid w:val="00DA7CCD"/>
    <w:pPr>
      <w:ind w:left="720"/>
      <w:outlineLvl w:val="7"/>
    </w:pPr>
    <w:rPr>
      <w:i/>
    </w:rPr>
  </w:style>
  <w:style w:type="paragraph" w:styleId="Heading9">
    <w:name w:val="heading 9"/>
    <w:basedOn w:val="Normal"/>
    <w:next w:val="Normal"/>
    <w:link w:val="Heading9Char"/>
    <w:qFormat/>
    <w:rsid w:val="00DA7CCD"/>
    <w:pPr>
      <w:ind w:left="720"/>
      <w:outlineLvl w:val="8"/>
    </w:pPr>
    <w:rPr>
      <w:i/>
    </w:rPr>
  </w:style>
  <w:style w:type="character" w:default="1" w:styleId="DefaultParagraphFont">
    <w:name w:val="Default Paragraph Font"/>
    <w:uiPriority w:val="1"/>
    <w:unhideWhenUsed/>
    <w:rsid w:val="00DA7C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7CCD"/>
  </w:style>
  <w:style w:type="character" w:customStyle="1" w:styleId="Heading1Char">
    <w:name w:val="Heading 1 Char"/>
    <w:basedOn w:val="DefaultParagraphFont"/>
    <w:link w:val="Heading1"/>
    <w:rsid w:val="00DA7CCD"/>
    <w:rPr>
      <w:rFonts w:ascii="Times New Roman" w:eastAsia="Times New Roman" w:hAnsi="Times New Roman" w:cs="Times New Roman"/>
      <w:b/>
      <w:sz w:val="32"/>
      <w:szCs w:val="20"/>
      <w:lang w:eastAsia="en-US"/>
    </w:rPr>
  </w:style>
  <w:style w:type="paragraph" w:styleId="BodyText">
    <w:name w:val="Body Text"/>
    <w:basedOn w:val="Normal"/>
    <w:link w:val="BodyTextChar"/>
    <w:rsid w:val="00DA7CC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A7CCD"/>
    <w:rPr>
      <w:rFonts w:ascii="Times New Roman" w:eastAsia="Times New Roman" w:hAnsi="Times New Roman" w:cs="Times New Roman"/>
      <w:sz w:val="24"/>
      <w:lang w:eastAsia="en-US"/>
    </w:rPr>
  </w:style>
  <w:style w:type="paragraph" w:styleId="ListBullet">
    <w:name w:val="List Bullet"/>
    <w:basedOn w:val="List"/>
    <w:rsid w:val="00DA7CCD"/>
    <w:pPr>
      <w:numPr>
        <w:numId w:val="12"/>
      </w:numPr>
      <w:tabs>
        <w:tab w:val="clear" w:pos="340"/>
      </w:tabs>
      <w:spacing w:before="40" w:after="40"/>
    </w:pPr>
  </w:style>
  <w:style w:type="character" w:customStyle="1" w:styleId="SpecialBold">
    <w:name w:val="Special Bold"/>
    <w:basedOn w:val="DefaultParagraphFont"/>
    <w:rsid w:val="00DA7CCD"/>
    <w:rPr>
      <w:b/>
      <w:spacing w:val="0"/>
    </w:rPr>
  </w:style>
  <w:style w:type="paragraph" w:customStyle="1" w:styleId="SuperHeading">
    <w:name w:val="SuperHeading"/>
    <w:basedOn w:val="Normal"/>
    <w:rsid w:val="00DA7CCD"/>
    <w:pPr>
      <w:spacing w:before="240" w:after="120"/>
      <w:outlineLvl w:val="0"/>
    </w:pPr>
    <w:rPr>
      <w:rFonts w:ascii="Times New Roman" w:hAnsi="Times New Roman"/>
      <w:b/>
      <w:sz w:val="32"/>
    </w:rPr>
  </w:style>
  <w:style w:type="paragraph" w:customStyle="1" w:styleId="AllowPageBreak">
    <w:name w:val="AllowPageBreak"/>
    <w:rsid w:val="00DA7C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A7C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7C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7C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7C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7C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7C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7C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7CCD"/>
    <w:rPr>
      <w:rFonts w:ascii="Courier New" w:eastAsia="Times New Roman" w:hAnsi="Courier New" w:cs="Times New Roman"/>
      <w:i/>
      <w:szCs w:val="20"/>
      <w:lang w:eastAsia="en-US"/>
    </w:rPr>
  </w:style>
  <w:style w:type="paragraph" w:customStyle="1" w:styleId="HeadingBase">
    <w:name w:val="Heading Base"/>
    <w:rsid w:val="00DA7C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7CCD"/>
    <w:pPr>
      <w:tabs>
        <w:tab w:val="right" w:leader="dot" w:pos="9072"/>
      </w:tabs>
      <w:ind w:left="567"/>
    </w:pPr>
    <w:rPr>
      <w:szCs w:val="22"/>
    </w:rPr>
  </w:style>
  <w:style w:type="paragraph" w:customStyle="1" w:styleId="TOCBase">
    <w:name w:val="TOC Base"/>
    <w:rsid w:val="00DA7C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7CCD"/>
    <w:pPr>
      <w:tabs>
        <w:tab w:val="right" w:leader="dot" w:pos="9072"/>
      </w:tabs>
      <w:spacing w:before="40" w:after="40"/>
      <w:ind w:left="284"/>
    </w:pPr>
    <w:rPr>
      <w:rFonts w:ascii="Times New Roman" w:hAnsi="Times New Roman"/>
    </w:rPr>
  </w:style>
  <w:style w:type="paragraph" w:styleId="TOC1">
    <w:name w:val="toc 1"/>
    <w:basedOn w:val="TOCBase"/>
    <w:next w:val="Normal"/>
    <w:rsid w:val="00DA7C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7C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7CCD"/>
    <w:rPr>
      <w:rFonts w:ascii="Times New Roman" w:eastAsia="Times New Roman" w:hAnsi="Times New Roman" w:cs="Times New Roman"/>
      <w:sz w:val="16"/>
      <w:lang w:eastAsia="en-US"/>
    </w:rPr>
  </w:style>
  <w:style w:type="paragraph" w:styleId="Title">
    <w:name w:val="Title"/>
    <w:basedOn w:val="HeadingBase"/>
    <w:link w:val="TitleChar"/>
    <w:qFormat/>
    <w:rsid w:val="00DA7CCD"/>
    <w:pPr>
      <w:spacing w:before="5040"/>
      <w:jc w:val="center"/>
    </w:pPr>
    <w:rPr>
      <w:sz w:val="48"/>
      <w:szCs w:val="72"/>
      <w:lang w:val="en-US"/>
    </w:rPr>
  </w:style>
  <w:style w:type="character" w:customStyle="1" w:styleId="TitleChar">
    <w:name w:val="Title Char"/>
    <w:basedOn w:val="DefaultParagraphFont"/>
    <w:link w:val="Title"/>
    <w:rsid w:val="00DA7C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7CCD"/>
    <w:pPr>
      <w:tabs>
        <w:tab w:val="left" w:pos="3600"/>
        <w:tab w:val="left" w:pos="3958"/>
      </w:tabs>
    </w:pPr>
  </w:style>
  <w:style w:type="paragraph" w:styleId="List">
    <w:name w:val="List"/>
    <w:basedOn w:val="BodyText"/>
    <w:next w:val="BodyText"/>
    <w:rsid w:val="00DA7CCD"/>
    <w:pPr>
      <w:tabs>
        <w:tab w:val="left" w:pos="340"/>
      </w:tabs>
      <w:spacing w:before="60" w:after="60"/>
      <w:ind w:left="340" w:hanging="340"/>
    </w:pPr>
  </w:style>
  <w:style w:type="paragraph" w:customStyle="1" w:styleId="Note">
    <w:name w:val="Note"/>
    <w:basedOn w:val="BodyText"/>
    <w:rsid w:val="00DA7C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7CCD"/>
    <w:pPr>
      <w:framePr w:wrap="auto" w:hAnchor="text" w:y="6049"/>
    </w:pPr>
    <w:rPr>
      <w:color w:val="000000"/>
      <w:sz w:val="40"/>
    </w:rPr>
  </w:style>
  <w:style w:type="paragraph" w:customStyle="1" w:styleId="TOCTitle">
    <w:name w:val="TOCTitle"/>
    <w:basedOn w:val="Heading1"/>
    <w:rsid w:val="00DA7CCD"/>
    <w:pPr>
      <w:spacing w:after="240"/>
      <w:jc w:val="center"/>
      <w:outlineLvl w:val="9"/>
    </w:pPr>
    <w:rPr>
      <w:caps/>
    </w:rPr>
  </w:style>
  <w:style w:type="paragraph" w:customStyle="1" w:styleId="Version">
    <w:name w:val="Version"/>
    <w:rsid w:val="00DA7CC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A7CCD"/>
    <w:pPr>
      <w:numPr>
        <w:numId w:val="13"/>
      </w:numPr>
      <w:tabs>
        <w:tab w:val="clear" w:pos="680"/>
      </w:tabs>
    </w:pPr>
  </w:style>
  <w:style w:type="paragraph" w:styleId="Index1">
    <w:name w:val="index 1"/>
    <w:basedOn w:val="Normal"/>
    <w:next w:val="Normal"/>
    <w:semiHidden/>
    <w:rsid w:val="00DA7CCD"/>
    <w:pPr>
      <w:keepNext w:val="0"/>
      <w:tabs>
        <w:tab w:val="right" w:pos="4176"/>
      </w:tabs>
      <w:ind w:left="198" w:hanging="198"/>
    </w:pPr>
    <w:rPr>
      <w:rFonts w:ascii="Garamond" w:hAnsi="Garamond"/>
    </w:rPr>
  </w:style>
  <w:style w:type="paragraph" w:styleId="IndexHeading">
    <w:name w:val="index heading"/>
    <w:basedOn w:val="Normal"/>
    <w:next w:val="Index1"/>
    <w:semiHidden/>
    <w:rsid w:val="00DA7CCD"/>
    <w:pPr>
      <w:spacing w:before="120" w:after="120"/>
    </w:pPr>
    <w:rPr>
      <w:rFonts w:ascii="Arial" w:hAnsi="Arial"/>
      <w:b/>
      <w:color w:val="918585"/>
      <w:sz w:val="24"/>
    </w:rPr>
  </w:style>
  <w:style w:type="paragraph" w:styleId="Header">
    <w:name w:val="header"/>
    <w:basedOn w:val="Normal"/>
    <w:link w:val="HeaderChar"/>
    <w:rsid w:val="00DA7C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7CCD"/>
    <w:rPr>
      <w:rFonts w:ascii="Times New Roman" w:eastAsia="Times New Roman" w:hAnsi="Times New Roman" w:cs="Times New Roman"/>
      <w:sz w:val="16"/>
      <w:szCs w:val="20"/>
      <w:lang w:val="en-GB" w:eastAsia="en-US"/>
    </w:rPr>
  </w:style>
  <w:style w:type="paragraph" w:customStyle="1" w:styleId="Chapter">
    <w:name w:val="Chapter"/>
    <w:basedOn w:val="Normal"/>
    <w:rsid w:val="00DA7CCD"/>
    <w:pPr>
      <w:spacing w:before="240"/>
    </w:pPr>
    <w:rPr>
      <w:rFonts w:ascii="Times New Roman" w:hAnsi="Times New Roman"/>
      <w:smallCaps/>
      <w:spacing w:val="80"/>
      <w:sz w:val="28"/>
    </w:rPr>
  </w:style>
  <w:style w:type="paragraph" w:customStyle="1" w:styleId="InChapter">
    <w:name w:val="InChapter"/>
    <w:basedOn w:val="Heading3"/>
    <w:rsid w:val="00DA7CCD"/>
    <w:pPr>
      <w:spacing w:after="240"/>
      <w:outlineLvl w:val="9"/>
    </w:pPr>
    <w:rPr>
      <w:noProof/>
    </w:rPr>
  </w:style>
  <w:style w:type="paragraph" w:styleId="Index2">
    <w:name w:val="index 2"/>
    <w:basedOn w:val="Normal"/>
    <w:next w:val="Normal"/>
    <w:semiHidden/>
    <w:rsid w:val="00DA7CCD"/>
    <w:pPr>
      <w:tabs>
        <w:tab w:val="right" w:pos="4176"/>
      </w:tabs>
      <w:ind w:left="568" w:hanging="284"/>
    </w:pPr>
    <w:rPr>
      <w:rFonts w:ascii="Garamond" w:hAnsi="Garamond"/>
    </w:rPr>
  </w:style>
  <w:style w:type="paragraph" w:customStyle="1" w:styleId="Byline">
    <w:name w:val="Byline"/>
    <w:rsid w:val="00DA7C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7CCD"/>
    <w:pPr>
      <w:tabs>
        <w:tab w:val="clear" w:pos="3600"/>
        <w:tab w:val="clear" w:pos="3958"/>
      </w:tabs>
      <w:jc w:val="right"/>
    </w:pPr>
  </w:style>
  <w:style w:type="character" w:styleId="Emphasis">
    <w:name w:val="Emphasis"/>
    <w:basedOn w:val="DefaultParagraphFont"/>
    <w:qFormat/>
    <w:rsid w:val="00DA7CCD"/>
    <w:rPr>
      <w:i/>
    </w:rPr>
  </w:style>
  <w:style w:type="paragraph" w:styleId="Caption">
    <w:name w:val="caption"/>
    <w:basedOn w:val="BodyText"/>
    <w:next w:val="Normal"/>
    <w:qFormat/>
    <w:rsid w:val="00DA7CCD"/>
    <w:pPr>
      <w:framePr w:w="2268" w:hSpace="181" w:vSpace="181" w:wrap="around" w:vAnchor="text" w:hAnchor="page" w:x="1135" w:y="285" w:anchorLock="1"/>
    </w:pPr>
    <w:rPr>
      <w:i/>
    </w:rPr>
  </w:style>
  <w:style w:type="paragraph" w:customStyle="1" w:styleId="MiniTOCTitle">
    <w:name w:val="MiniTOCTitle"/>
    <w:basedOn w:val="Heading4"/>
    <w:rsid w:val="00DA7CCD"/>
    <w:pPr>
      <w:spacing w:before="240"/>
      <w:outlineLvl w:val="9"/>
    </w:pPr>
    <w:rPr>
      <w:noProof/>
      <w:sz w:val="24"/>
    </w:rPr>
  </w:style>
  <w:style w:type="paragraph" w:customStyle="1" w:styleId="MiniTOCItem">
    <w:name w:val="MiniTOCItem"/>
    <w:basedOn w:val="ListBullet"/>
    <w:rsid w:val="00DA7CCD"/>
    <w:pPr>
      <w:numPr>
        <w:numId w:val="0"/>
      </w:numPr>
      <w:tabs>
        <w:tab w:val="right" w:leader="dot" w:pos="6521"/>
      </w:tabs>
      <w:spacing w:before="0" w:after="0"/>
    </w:pPr>
  </w:style>
  <w:style w:type="paragraph" w:customStyle="1" w:styleId="TOFTitle">
    <w:name w:val="TOFTitle"/>
    <w:basedOn w:val="TOCTitle"/>
    <w:rsid w:val="00DA7CCD"/>
  </w:style>
  <w:style w:type="paragraph" w:styleId="TableofFigures">
    <w:name w:val="table of figures"/>
    <w:basedOn w:val="Normal"/>
    <w:next w:val="Normal"/>
    <w:semiHidden/>
    <w:rsid w:val="00DA7CCD"/>
    <w:pPr>
      <w:tabs>
        <w:tab w:val="right" w:leader="dot" w:pos="9072"/>
      </w:tabs>
      <w:ind w:left="970" w:hanging="403"/>
    </w:pPr>
    <w:rPr>
      <w:rFonts w:ascii="Times New Roman" w:hAnsi="Times New Roman"/>
      <w:b/>
    </w:rPr>
  </w:style>
  <w:style w:type="paragraph" w:styleId="ListNumber">
    <w:name w:val="List Number"/>
    <w:basedOn w:val="List"/>
    <w:rsid w:val="00DA7CCD"/>
    <w:pPr>
      <w:numPr>
        <w:numId w:val="10"/>
      </w:numPr>
    </w:pPr>
  </w:style>
  <w:style w:type="character" w:customStyle="1" w:styleId="WingdingSymbols">
    <w:name w:val="Wingding Symbols"/>
    <w:rsid w:val="00DA7CCD"/>
    <w:rPr>
      <w:rFonts w:ascii="Wingdings" w:hAnsi="Wingdings"/>
    </w:rPr>
  </w:style>
  <w:style w:type="paragraph" w:customStyle="1" w:styleId="TableHeading">
    <w:name w:val="Table Heading"/>
    <w:basedOn w:val="HeadingBase"/>
    <w:rsid w:val="00DA7CCD"/>
    <w:pPr>
      <w:keepLines/>
      <w:pBdr>
        <w:bottom w:val="single" w:sz="6" w:space="1" w:color="918585"/>
      </w:pBdr>
      <w:spacing w:before="240"/>
    </w:pPr>
  </w:style>
  <w:style w:type="character" w:customStyle="1" w:styleId="HotSpot">
    <w:name w:val="HotSpot"/>
    <w:rsid w:val="00DA7CCD"/>
    <w:rPr>
      <w:color w:val="0033CC"/>
      <w:u w:val="none"/>
    </w:rPr>
  </w:style>
  <w:style w:type="paragraph" w:customStyle="1" w:styleId="BodyTextRight">
    <w:name w:val="Body Text Right"/>
    <w:basedOn w:val="BodyText"/>
    <w:rsid w:val="00DA7CCD"/>
    <w:pPr>
      <w:spacing w:before="0" w:after="0"/>
      <w:jc w:val="right"/>
    </w:pPr>
  </w:style>
  <w:style w:type="paragraph" w:styleId="Index3">
    <w:name w:val="index 3"/>
    <w:basedOn w:val="ListNumber2"/>
    <w:next w:val="Normal"/>
    <w:semiHidden/>
    <w:rsid w:val="00DA7CCD"/>
    <w:pPr>
      <w:numPr>
        <w:numId w:val="0"/>
      </w:numPr>
      <w:tabs>
        <w:tab w:val="right" w:leader="dot" w:pos="4176"/>
      </w:tabs>
    </w:pPr>
  </w:style>
  <w:style w:type="paragraph" w:styleId="ListNumber2">
    <w:name w:val="List Number 2"/>
    <w:basedOn w:val="List2"/>
    <w:rsid w:val="00DA7CCD"/>
    <w:pPr>
      <w:numPr>
        <w:numId w:val="9"/>
      </w:numPr>
      <w:tabs>
        <w:tab w:val="clear" w:pos="1060"/>
      </w:tabs>
    </w:pPr>
  </w:style>
  <w:style w:type="paragraph" w:customStyle="1" w:styleId="MarginNote">
    <w:name w:val="Margin Note"/>
    <w:basedOn w:val="BodyText"/>
    <w:rsid w:val="00DA7C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7C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7C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7CCD"/>
    <w:rPr>
      <w:sz w:val="32"/>
    </w:rPr>
  </w:style>
  <w:style w:type="paragraph" w:customStyle="1" w:styleId="HeadingProcedure">
    <w:name w:val="Heading Procedure"/>
    <w:basedOn w:val="HeadingBase"/>
    <w:next w:val="Normal"/>
    <w:rsid w:val="00DA7CCD"/>
    <w:pPr>
      <w:tabs>
        <w:tab w:val="left" w:pos="0"/>
      </w:tabs>
      <w:spacing w:before="120" w:after="60"/>
    </w:pPr>
    <w:rPr>
      <w:i/>
      <w:color w:val="918585"/>
      <w:sz w:val="22"/>
    </w:rPr>
  </w:style>
  <w:style w:type="paragraph" w:customStyle="1" w:styleId="TableBodyText">
    <w:name w:val="Table Body Text"/>
    <w:basedOn w:val="BodyText"/>
    <w:rsid w:val="00DA7CCD"/>
    <w:pPr>
      <w:spacing w:before="60" w:after="60"/>
    </w:pPr>
  </w:style>
  <w:style w:type="paragraph" w:styleId="ListContinue">
    <w:name w:val="List Continue"/>
    <w:basedOn w:val="List"/>
    <w:rsid w:val="00DA7CCD"/>
    <w:pPr>
      <w:ind w:firstLine="0"/>
    </w:pPr>
  </w:style>
  <w:style w:type="paragraph" w:customStyle="1" w:styleId="ListNote">
    <w:name w:val="List Note"/>
    <w:basedOn w:val="List"/>
    <w:rsid w:val="00DA7CCD"/>
    <w:pPr>
      <w:pBdr>
        <w:top w:val="single" w:sz="6" w:space="2" w:color="918585"/>
        <w:bottom w:val="single" w:sz="6" w:space="2" w:color="918585"/>
      </w:pBdr>
      <w:tabs>
        <w:tab w:val="left" w:pos="1021"/>
      </w:tabs>
      <w:ind w:firstLine="0"/>
    </w:pPr>
  </w:style>
  <w:style w:type="paragraph" w:customStyle="1" w:styleId="Warning">
    <w:name w:val="Warning"/>
    <w:basedOn w:val="BodyText"/>
    <w:rsid w:val="00DA7CCD"/>
    <w:pPr>
      <w:shd w:val="clear" w:color="auto" w:fill="D9D9D9"/>
      <w:tabs>
        <w:tab w:val="left" w:pos="992"/>
      </w:tabs>
      <w:ind w:left="119" w:right="119"/>
    </w:pPr>
    <w:rPr>
      <w:sz w:val="20"/>
    </w:rPr>
  </w:style>
  <w:style w:type="paragraph" w:customStyle="1" w:styleId="MarginIcons">
    <w:name w:val="Margin Icons"/>
    <w:basedOn w:val="BodyText"/>
    <w:rsid w:val="00DA7C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7CCD"/>
    <w:rPr>
      <w:rFonts w:ascii="Courier New" w:hAnsi="Courier New"/>
    </w:rPr>
  </w:style>
  <w:style w:type="paragraph" w:customStyle="1" w:styleId="NoteBullet">
    <w:name w:val="Note Bullet"/>
    <w:basedOn w:val="Note"/>
    <w:rsid w:val="00DA7CCD"/>
    <w:pPr>
      <w:tabs>
        <w:tab w:val="clear" w:pos="680"/>
      </w:tabs>
      <w:spacing w:before="60" w:after="60"/>
    </w:pPr>
  </w:style>
  <w:style w:type="paragraph" w:customStyle="1" w:styleId="SubHeading2">
    <w:name w:val="SubHeading2"/>
    <w:basedOn w:val="HeadingBase"/>
    <w:rsid w:val="00DA7CCD"/>
    <w:pPr>
      <w:spacing w:before="240" w:after="60"/>
    </w:pPr>
    <w:rPr>
      <w:sz w:val="20"/>
    </w:rPr>
  </w:style>
  <w:style w:type="paragraph" w:customStyle="1" w:styleId="SubHeading1">
    <w:name w:val="SubHeading1"/>
    <w:basedOn w:val="HeadingBase"/>
    <w:rsid w:val="00DA7CCD"/>
    <w:pPr>
      <w:spacing w:before="240" w:after="60"/>
    </w:pPr>
    <w:rPr>
      <w:color w:val="918585"/>
      <w:sz w:val="22"/>
    </w:rPr>
  </w:style>
  <w:style w:type="paragraph" w:customStyle="1" w:styleId="SideHeading">
    <w:name w:val="Side Heading"/>
    <w:basedOn w:val="HeadingBase"/>
    <w:rsid w:val="00DA7C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7CCD"/>
    <w:pPr>
      <w:tabs>
        <w:tab w:val="num" w:pos="360"/>
      </w:tabs>
    </w:pPr>
  </w:style>
  <w:style w:type="paragraph" w:styleId="PlainText">
    <w:name w:val="Plain Text"/>
    <w:basedOn w:val="Normal"/>
    <w:link w:val="PlainTextChar"/>
    <w:rsid w:val="00DA7CCD"/>
    <w:rPr>
      <w:sz w:val="20"/>
    </w:rPr>
  </w:style>
  <w:style w:type="character" w:customStyle="1" w:styleId="PlainTextChar">
    <w:name w:val="Plain Text Char"/>
    <w:basedOn w:val="DefaultParagraphFont"/>
    <w:link w:val="PlainText"/>
    <w:rsid w:val="00DA7CCD"/>
    <w:rPr>
      <w:rFonts w:ascii="Courier New" w:eastAsia="Times New Roman" w:hAnsi="Courier New" w:cs="Times New Roman"/>
      <w:sz w:val="20"/>
      <w:szCs w:val="20"/>
      <w:lang w:eastAsia="en-US"/>
    </w:rPr>
  </w:style>
  <w:style w:type="character" w:customStyle="1" w:styleId="MenuOption">
    <w:name w:val="Menu Option"/>
    <w:basedOn w:val="DefaultParagraphFont"/>
    <w:rsid w:val="00DA7CCD"/>
    <w:rPr>
      <w:b/>
      <w:smallCaps/>
    </w:rPr>
  </w:style>
  <w:style w:type="paragraph" w:customStyle="1" w:styleId="TableListNumber">
    <w:name w:val="Table List Number"/>
    <w:basedOn w:val="ListNumber"/>
    <w:rsid w:val="00DA7CCD"/>
    <w:pPr>
      <w:numPr>
        <w:numId w:val="0"/>
      </w:numPr>
    </w:pPr>
  </w:style>
  <w:style w:type="paragraph" w:styleId="TOC4">
    <w:name w:val="toc 4"/>
    <w:basedOn w:val="TOCBase"/>
    <w:next w:val="Normal"/>
    <w:semiHidden/>
    <w:rsid w:val="00DA7CCD"/>
    <w:pPr>
      <w:tabs>
        <w:tab w:val="right" w:leader="dot" w:pos="9071"/>
      </w:tabs>
      <w:ind w:left="1701"/>
    </w:pPr>
  </w:style>
  <w:style w:type="paragraph" w:customStyle="1" w:styleId="ListAlpha">
    <w:name w:val="List Alpha"/>
    <w:basedOn w:val="List"/>
    <w:rsid w:val="00DA7CCD"/>
    <w:pPr>
      <w:numPr>
        <w:numId w:val="8"/>
      </w:numPr>
    </w:pPr>
  </w:style>
  <w:style w:type="paragraph" w:customStyle="1" w:styleId="ListAlpha2">
    <w:name w:val="List Alpha 2"/>
    <w:basedOn w:val="List2"/>
    <w:rsid w:val="00DA7CCD"/>
    <w:pPr>
      <w:numPr>
        <w:numId w:val="7"/>
      </w:numPr>
    </w:pPr>
  </w:style>
  <w:style w:type="paragraph" w:styleId="List2">
    <w:name w:val="List 2"/>
    <w:basedOn w:val="BodyText"/>
    <w:rsid w:val="00DA7CCD"/>
    <w:pPr>
      <w:tabs>
        <w:tab w:val="left" w:pos="680"/>
      </w:tabs>
      <w:spacing w:before="60" w:after="60"/>
      <w:ind w:left="680" w:hanging="340"/>
    </w:pPr>
  </w:style>
  <w:style w:type="paragraph" w:styleId="List3">
    <w:name w:val="List 3"/>
    <w:basedOn w:val="BodyText"/>
    <w:rsid w:val="00DA7CCD"/>
    <w:pPr>
      <w:tabs>
        <w:tab w:val="left" w:pos="1021"/>
      </w:tabs>
      <w:spacing w:before="60" w:after="60"/>
      <w:ind w:left="1020" w:hanging="340"/>
    </w:pPr>
  </w:style>
  <w:style w:type="paragraph" w:styleId="List4">
    <w:name w:val="List 4"/>
    <w:basedOn w:val="BodyText"/>
    <w:rsid w:val="00DA7CCD"/>
    <w:pPr>
      <w:tabs>
        <w:tab w:val="left" w:pos="1361"/>
      </w:tabs>
      <w:spacing w:before="60" w:after="60"/>
      <w:ind w:left="1361" w:hanging="340"/>
    </w:pPr>
  </w:style>
  <w:style w:type="paragraph" w:styleId="List5">
    <w:name w:val="List 5"/>
    <w:basedOn w:val="BodyText"/>
    <w:rsid w:val="00DA7CCD"/>
    <w:pPr>
      <w:tabs>
        <w:tab w:val="left" w:pos="1701"/>
      </w:tabs>
      <w:spacing w:before="60" w:after="60"/>
      <w:ind w:left="1701" w:hanging="340"/>
    </w:pPr>
  </w:style>
  <w:style w:type="paragraph" w:styleId="ListBullet3">
    <w:name w:val="List Bullet 3"/>
    <w:basedOn w:val="List3"/>
    <w:rsid w:val="00DA7CCD"/>
    <w:pPr>
      <w:numPr>
        <w:numId w:val="14"/>
      </w:numPr>
      <w:tabs>
        <w:tab w:val="clear" w:pos="1021"/>
      </w:tabs>
      <w:ind w:left="1037" w:hanging="357"/>
    </w:pPr>
  </w:style>
  <w:style w:type="paragraph" w:styleId="ListBullet4">
    <w:name w:val="List Bullet 4"/>
    <w:basedOn w:val="List4"/>
    <w:rsid w:val="00DA7CCD"/>
    <w:pPr>
      <w:numPr>
        <w:numId w:val="2"/>
      </w:numPr>
      <w:tabs>
        <w:tab w:val="clear" w:pos="1361"/>
      </w:tabs>
    </w:pPr>
  </w:style>
  <w:style w:type="paragraph" w:styleId="ListBullet5">
    <w:name w:val="List Bullet 5"/>
    <w:basedOn w:val="List5"/>
    <w:rsid w:val="00DA7CCD"/>
    <w:pPr>
      <w:numPr>
        <w:numId w:val="3"/>
      </w:numPr>
    </w:pPr>
  </w:style>
  <w:style w:type="paragraph" w:styleId="ListContinue2">
    <w:name w:val="List Continue 2"/>
    <w:basedOn w:val="List2"/>
    <w:rsid w:val="00DA7CCD"/>
    <w:pPr>
      <w:ind w:firstLine="0"/>
    </w:pPr>
  </w:style>
  <w:style w:type="paragraph" w:styleId="ListContinue3">
    <w:name w:val="List Continue 3"/>
    <w:basedOn w:val="List3"/>
    <w:rsid w:val="00DA7CCD"/>
    <w:pPr>
      <w:ind w:left="1021" w:firstLine="0"/>
    </w:pPr>
  </w:style>
  <w:style w:type="paragraph" w:styleId="ListContinue4">
    <w:name w:val="List Continue 4"/>
    <w:basedOn w:val="List4"/>
    <w:rsid w:val="00DA7CCD"/>
    <w:pPr>
      <w:ind w:firstLine="0"/>
    </w:pPr>
  </w:style>
  <w:style w:type="paragraph" w:styleId="ListContinue5">
    <w:name w:val="List Continue 5"/>
    <w:basedOn w:val="List5"/>
    <w:rsid w:val="00DA7CCD"/>
    <w:pPr>
      <w:ind w:firstLine="0"/>
    </w:pPr>
  </w:style>
  <w:style w:type="paragraph" w:styleId="ListNumber3">
    <w:name w:val="List Number 3"/>
    <w:basedOn w:val="List3"/>
    <w:rsid w:val="00DA7CCD"/>
    <w:pPr>
      <w:numPr>
        <w:numId w:val="4"/>
      </w:numPr>
    </w:pPr>
  </w:style>
  <w:style w:type="paragraph" w:styleId="ListNumber4">
    <w:name w:val="List Number 4"/>
    <w:basedOn w:val="List4"/>
    <w:rsid w:val="00DA7CCD"/>
    <w:pPr>
      <w:numPr>
        <w:numId w:val="5"/>
      </w:numPr>
    </w:pPr>
  </w:style>
  <w:style w:type="paragraph" w:styleId="ListNumber5">
    <w:name w:val="List Number 5"/>
    <w:basedOn w:val="List5"/>
    <w:rsid w:val="00DA7CCD"/>
    <w:pPr>
      <w:numPr>
        <w:numId w:val="6"/>
      </w:numPr>
    </w:pPr>
  </w:style>
  <w:style w:type="paragraph" w:styleId="BlockText">
    <w:name w:val="Block Text"/>
    <w:basedOn w:val="Normal"/>
    <w:rsid w:val="00DA7CCD"/>
    <w:pPr>
      <w:spacing w:after="120"/>
      <w:ind w:left="1440" w:right="1440"/>
    </w:pPr>
  </w:style>
  <w:style w:type="character" w:customStyle="1" w:styleId="Subscript">
    <w:name w:val="Subscript"/>
    <w:basedOn w:val="DefaultParagraphFont"/>
    <w:rsid w:val="00DA7CCD"/>
    <w:rPr>
      <w:sz w:val="16"/>
      <w:vertAlign w:val="subscript"/>
    </w:rPr>
  </w:style>
  <w:style w:type="character" w:customStyle="1" w:styleId="Superscript">
    <w:name w:val="Superscript"/>
    <w:basedOn w:val="DefaultParagraphFont"/>
    <w:rsid w:val="00DA7CCD"/>
    <w:rPr>
      <w:sz w:val="16"/>
      <w:vertAlign w:val="superscript"/>
    </w:rPr>
  </w:style>
  <w:style w:type="character" w:customStyle="1" w:styleId="Symbols">
    <w:name w:val="Symbols"/>
    <w:basedOn w:val="DefaultParagraphFont"/>
    <w:rsid w:val="00DA7CCD"/>
    <w:rPr>
      <w:rFonts w:ascii="Symbol" w:hAnsi="Symbol"/>
    </w:rPr>
  </w:style>
  <w:style w:type="character" w:customStyle="1" w:styleId="MenuOptions">
    <w:name w:val="Menu Options"/>
    <w:basedOn w:val="DefaultParagraphFont"/>
    <w:rsid w:val="00DA7CCD"/>
    <w:rPr>
      <w:rFonts w:ascii="Arial Narrow" w:hAnsi="Arial Narrow"/>
      <w:smallCaps/>
    </w:rPr>
  </w:style>
  <w:style w:type="character" w:customStyle="1" w:styleId="Buttons">
    <w:name w:val="Buttons"/>
    <w:basedOn w:val="DefaultParagraphFont"/>
    <w:rsid w:val="00DA7CCD"/>
    <w:rPr>
      <w:b/>
    </w:rPr>
  </w:style>
  <w:style w:type="character" w:customStyle="1" w:styleId="Underlined">
    <w:name w:val="Underlined"/>
    <w:basedOn w:val="DefaultParagraphFont"/>
    <w:rsid w:val="00DA7CCD"/>
    <w:rPr>
      <w:u w:val="single"/>
    </w:rPr>
  </w:style>
  <w:style w:type="paragraph" w:customStyle="1" w:styleId="TableBodyTextRight">
    <w:name w:val="Table Body Text Right"/>
    <w:basedOn w:val="TableBodyText"/>
    <w:rsid w:val="00DA7CCD"/>
    <w:pPr>
      <w:widowControl w:val="0"/>
      <w:autoSpaceDE w:val="0"/>
      <w:autoSpaceDN w:val="0"/>
      <w:adjustRightInd w:val="0"/>
      <w:jc w:val="right"/>
    </w:pPr>
    <w:rPr>
      <w:rFonts w:cs="Arial"/>
      <w:szCs w:val="18"/>
    </w:rPr>
  </w:style>
  <w:style w:type="paragraph" w:customStyle="1" w:styleId="CopyrightText">
    <w:name w:val="Copyright Text"/>
    <w:basedOn w:val="BodyText"/>
    <w:rsid w:val="00DA7CCD"/>
    <w:rPr>
      <w:sz w:val="18"/>
    </w:rPr>
  </w:style>
  <w:style w:type="paragraph" w:customStyle="1" w:styleId="BodySmallRight">
    <w:name w:val="Body Small Right"/>
    <w:basedOn w:val="BodyTextRight"/>
    <w:rsid w:val="00DA7CCD"/>
    <w:rPr>
      <w:sz w:val="18"/>
      <w:szCs w:val="18"/>
    </w:rPr>
  </w:style>
  <w:style w:type="paragraph" w:customStyle="1" w:styleId="MarginEdition">
    <w:name w:val="Margin Edition"/>
    <w:basedOn w:val="MarginNote"/>
    <w:rsid w:val="00DA7CCD"/>
    <w:pPr>
      <w:spacing w:before="0" w:after="0"/>
    </w:pPr>
    <w:rPr>
      <w:rFonts w:ascii="Times New Roman" w:hAnsi="Times New Roman"/>
      <w:color w:val="999999"/>
    </w:rPr>
  </w:style>
  <w:style w:type="paragraph" w:customStyle="1" w:styleId="Spacer">
    <w:name w:val="Spacer"/>
    <w:basedOn w:val="Normal"/>
    <w:rsid w:val="00DA7CCD"/>
    <w:rPr>
      <w:sz w:val="2"/>
      <w:szCs w:val="2"/>
    </w:rPr>
  </w:style>
  <w:style w:type="character" w:customStyle="1" w:styleId="Small">
    <w:name w:val="Small"/>
    <w:basedOn w:val="DefaultParagraphFont"/>
    <w:rsid w:val="00DA7CCD"/>
    <w:rPr>
      <w:sz w:val="16"/>
    </w:rPr>
  </w:style>
  <w:style w:type="paragraph" w:customStyle="1" w:styleId="WideTable">
    <w:name w:val="Wide Table"/>
    <w:basedOn w:val="Normal"/>
    <w:rsid w:val="00DA7CCD"/>
    <w:pPr>
      <w:ind w:left="-1418"/>
    </w:pPr>
    <w:rPr>
      <w:sz w:val="2"/>
      <w:szCs w:val="2"/>
    </w:rPr>
  </w:style>
  <w:style w:type="character" w:styleId="PageNumber">
    <w:name w:val="page number"/>
    <w:basedOn w:val="DefaultParagraphFont"/>
    <w:rsid w:val="00DA7CCD"/>
  </w:style>
  <w:style w:type="paragraph" w:styleId="Quote">
    <w:name w:val="Quote"/>
    <w:basedOn w:val="Heading1"/>
    <w:link w:val="QuoteChar"/>
    <w:qFormat/>
    <w:rsid w:val="00DA7CCD"/>
    <w:rPr>
      <w:b w:val="0"/>
      <w:sz w:val="72"/>
      <w:szCs w:val="72"/>
      <w:lang w:val="en-NZ"/>
    </w:rPr>
  </w:style>
  <w:style w:type="character" w:customStyle="1" w:styleId="QuoteChar">
    <w:name w:val="Quote Char"/>
    <w:basedOn w:val="DefaultParagraphFont"/>
    <w:link w:val="Quote"/>
    <w:rsid w:val="00DA7C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7CCD"/>
    <w:pPr>
      <w:pageBreakBefore/>
    </w:pPr>
  </w:style>
  <w:style w:type="paragraph" w:customStyle="1" w:styleId="Border">
    <w:name w:val="Border"/>
    <w:basedOn w:val="Normal"/>
    <w:qFormat/>
    <w:rsid w:val="00DA7C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7CCD"/>
    <w:rPr>
      <w:b/>
      <w:bCs/>
      <w:i/>
      <w:iCs/>
      <w:color w:val="auto"/>
    </w:rPr>
  </w:style>
  <w:style w:type="paragraph" w:styleId="IntenseQuote">
    <w:name w:val="Intense Quote"/>
    <w:basedOn w:val="Normal"/>
    <w:next w:val="Normal"/>
    <w:link w:val="IntenseQuoteChar"/>
    <w:uiPriority w:val="30"/>
    <w:qFormat/>
    <w:rsid w:val="00DA7C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7C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7CCD"/>
    <w:rPr>
      <w:smallCaps/>
      <w:color w:val="auto"/>
      <w:u w:val="single"/>
    </w:rPr>
  </w:style>
  <w:style w:type="character" w:styleId="IntenseReference">
    <w:name w:val="Intense Reference"/>
    <w:basedOn w:val="DefaultParagraphFont"/>
    <w:uiPriority w:val="32"/>
    <w:qFormat/>
    <w:rsid w:val="00DA7CCD"/>
    <w:rPr>
      <w:b/>
      <w:bCs/>
      <w:smallCaps/>
      <w:color w:val="auto"/>
      <w:spacing w:val="5"/>
      <w:u w:val="single"/>
    </w:rPr>
  </w:style>
  <w:style w:type="paragraph" w:customStyle="1" w:styleId="2ColumnHeading">
    <w:name w:val="2Column Heading"/>
    <w:basedOn w:val="BodyText"/>
    <w:qFormat/>
    <w:rsid w:val="00DA7CCD"/>
    <w:pPr>
      <w:spacing w:after="60"/>
      <w:ind w:left="-2268"/>
    </w:pPr>
    <w:rPr>
      <w:b/>
    </w:rPr>
  </w:style>
  <w:style w:type="paragraph" w:customStyle="1" w:styleId="Heading1TOC">
    <w:name w:val="Heading1 TOC"/>
    <w:basedOn w:val="Normal"/>
    <w:qFormat/>
    <w:rsid w:val="00DA7CCD"/>
    <w:pPr>
      <w:spacing w:before="240" w:after="120"/>
    </w:pPr>
    <w:rPr>
      <w:rFonts w:ascii="Times New Roman" w:hAnsi="Times New Roman"/>
      <w:b/>
      <w:sz w:val="32"/>
    </w:rPr>
  </w:style>
  <w:style w:type="paragraph" w:customStyle="1" w:styleId="Heading2TOC">
    <w:name w:val="Heading2 TOC"/>
    <w:basedOn w:val="Normal"/>
    <w:qFormat/>
    <w:rsid w:val="00DA7CCD"/>
    <w:pPr>
      <w:spacing w:before="240" w:after="60"/>
    </w:pPr>
    <w:rPr>
      <w:rFonts w:ascii="Times New Roman" w:hAnsi="Times New Roman"/>
      <w:b/>
      <w:sz w:val="28"/>
    </w:rPr>
  </w:style>
  <w:style w:type="character" w:customStyle="1" w:styleId="Underline">
    <w:name w:val="Underline"/>
    <w:basedOn w:val="DefaultParagraphFont"/>
    <w:qFormat/>
    <w:rsid w:val="00DA7CCD"/>
    <w:rPr>
      <w:u w:val="single"/>
    </w:rPr>
  </w:style>
  <w:style w:type="character" w:customStyle="1" w:styleId="BoldandItalics">
    <w:name w:val="Bold and Italics"/>
    <w:qFormat/>
    <w:rsid w:val="00DA7CCD"/>
    <w:rPr>
      <w:b/>
      <w:i/>
      <w:u w:val="none"/>
    </w:rPr>
  </w:style>
  <w:style w:type="paragraph" w:styleId="BalloonText">
    <w:name w:val="Balloon Text"/>
    <w:basedOn w:val="Normal"/>
    <w:link w:val="BalloonTextChar"/>
    <w:rsid w:val="00DA7CCD"/>
    <w:rPr>
      <w:rFonts w:ascii="Tahoma" w:hAnsi="Tahoma" w:cs="Tahoma"/>
      <w:sz w:val="16"/>
      <w:szCs w:val="16"/>
    </w:rPr>
  </w:style>
  <w:style w:type="character" w:customStyle="1" w:styleId="BalloonTextChar">
    <w:name w:val="Balloon Text Char"/>
    <w:basedOn w:val="DefaultParagraphFont"/>
    <w:link w:val="BalloonText"/>
    <w:rsid w:val="00DA7C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7CC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A7C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7CCD"/>
    <w:rPr>
      <w:b/>
      <w:color w:val="660033"/>
      <w:spacing w:val="0"/>
    </w:rPr>
  </w:style>
  <w:style w:type="paragraph" w:customStyle="1" w:styleId="Nameditemlist">
    <w:name w:val="Named item list"/>
    <w:basedOn w:val="BodyText"/>
    <w:qFormat/>
    <w:rsid w:val="00DA7CC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750</Words>
  <Characters>4956</Characters>
  <Application>Microsoft Office Word</Application>
  <DocSecurity>0</DocSecurity>
  <Lines>220</Lines>
  <Paragraphs>116</Paragraphs>
  <ScaleCrop>false</ScaleCrop>
  <Company>Author-it Software Corporation Ltd.</Company>
  <LinksUpToDate>false</LinksUpToDate>
  <CharactersWithSpaces>5662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MSFFL3046 Apply finishes to cork flooring</dc:title>
  <dc:subject>Approved</dc:subject>
  <dc:creator>Manufacturing Skills Australia</dc:creator>
  <cp:keywords>Release: 1</cp:keywords>
  <dc:description>Review Date: 12 April 2008</dc:description>
  <cp:lastModifiedBy>TPCMS</cp:lastModifiedBy>
  <cp:revision>3</cp:revision>
  <dcterms:created xsi:type="dcterms:W3CDTF">2016-12-09T04:00:00Z</dcterms:created>
  <dcterms:modified xsi:type="dcterms:W3CDTF">2016-12-09T04:00:00Z</dcterms:modified>
</cp:coreProperties>
</file>