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D65" w:rsidP="006A2D65">
      <w:pPr>
        <w:pStyle w:val="Title"/>
      </w:pPr>
      <w:r>
        <w:fldChar w:fldCharType="begin"/>
      </w:r>
      <w:r>
        <w:instrText xml:space="preserve"> TITLE   \* MERGEFORMAT </w:instrText>
      </w:r>
      <w:r>
        <w:fldChar w:fldCharType="separate"/>
      </w:r>
      <w:r>
        <w:t>MSFFL3022 Mix and apply epoxy and seamless floor coverings</w:t>
      </w:r>
      <w:r>
        <w:fldChar w:fldCharType="end"/>
      </w:r>
    </w:p>
    <w:p w:rsidR="006A2D65" w:rsidP="006A2D65">
      <w:pPr>
        <w:pStyle w:val="Version"/>
        <w:sectPr w:rsidSect="00184D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D17" w:rsidP="00184D17">
      <w:pPr>
        <w:pStyle w:val="SuperHeading"/>
      </w:pPr>
      <w:r w:rsidRPr="00184D17">
        <w:t>MSFFL3022 Mix and apply epoxy and seamless floor coverings</w:t>
      </w:r>
    </w:p>
    <w:p w:rsidR="00000000" w:rsidRPr="00184D17" w:rsidP="00184D17">
      <w:pPr>
        <w:pStyle w:val="Heading1"/>
      </w:pPr>
      <w:bookmarkStart w:id="1" w:name="O_636109"/>
      <w:bookmarkEnd w:id="1"/>
      <w:r w:rsidRPr="00184D17">
        <w:t>Modification History</w:t>
      </w:r>
    </w:p>
    <w:p w:rsidR="00000000" w:rsidRPr="00184D17" w:rsidP="00184D17">
      <w:pPr>
        <w:pStyle w:val="BodyText"/>
      </w:pPr>
      <w:r w:rsidRPr="00184D17">
        <w:t>Release 1 - New unit of competency</w:t>
      </w:r>
    </w:p>
    <w:p w:rsidR="00000000" w:rsidRPr="00184D17" w:rsidP="00184D17">
      <w:pPr>
        <w:pStyle w:val="AllowPageBreak"/>
      </w:pPr>
    </w:p>
    <w:p w:rsidR="00000000" w:rsidRPr="00184D17" w:rsidP="00184D17">
      <w:pPr>
        <w:pStyle w:val="Heading1"/>
      </w:pPr>
      <w:bookmarkStart w:id="2" w:name="O_636117"/>
      <w:bookmarkEnd w:id="2"/>
      <w:r w:rsidRPr="00184D17">
        <w:t>Application</w:t>
      </w:r>
    </w:p>
    <w:p w:rsidR="00000000" w:rsidRPr="00184D17" w:rsidP="00184D17">
      <w:pPr>
        <w:pStyle w:val="BodyText"/>
      </w:pPr>
      <w:r w:rsidRPr="00184D17">
        <w:t>This unit of competency covers preparation, application and finishing of epoxy and seamless floor coverings.</w:t>
      </w:r>
    </w:p>
    <w:p w:rsidR="00000000" w:rsidRPr="00184D17" w:rsidP="00184D17">
      <w:pPr>
        <w:pStyle w:val="BodyText"/>
      </w:pPr>
    </w:p>
    <w:p w:rsidR="00000000" w:rsidRPr="00184D17" w:rsidP="00184D17">
      <w:pPr>
        <w:pStyle w:val="BodyText"/>
      </w:pPr>
      <w:r w:rsidRPr="00184D17">
        <w:t>Licensing, legislative or certification requi</w:t>
      </w:r>
      <w:r w:rsidRPr="00184D17">
        <w:t>rements may apply to this unit and relevant state/territory and local government agencies should be consulted to determine any necessary certification or licensing for undertaking flooring work. Access to construction sites requires certification of genera</w:t>
      </w:r>
      <w:r w:rsidRPr="00184D17">
        <w:t>l induction training specified by the National Code of Practice for Induction for Construction Work (ASCC 2007).</w:t>
      </w:r>
    </w:p>
    <w:p w:rsidR="00000000" w:rsidRPr="00184D17" w:rsidP="00184D17">
      <w:pPr>
        <w:pStyle w:val="AllowPageBreak"/>
      </w:pPr>
    </w:p>
    <w:p w:rsidR="00000000" w:rsidRPr="00184D17" w:rsidP="00184D17">
      <w:pPr>
        <w:pStyle w:val="Heading1"/>
      </w:pPr>
      <w:bookmarkStart w:id="3" w:name="O_636116"/>
      <w:bookmarkEnd w:id="3"/>
      <w:r w:rsidRPr="00184D17">
        <w:t>Pre-requisite Unit</w:t>
      </w:r>
    </w:p>
    <w:p w:rsidR="00000000" w:rsidRPr="00184D17" w:rsidP="00184D17">
      <w:pPr>
        <w:pStyle w:val="Heading1"/>
      </w:pPr>
      <w:bookmarkStart w:id="4" w:name="O_636115"/>
      <w:bookmarkEnd w:id="4"/>
      <w:r w:rsidRPr="00184D17">
        <w:t>Competency Field</w:t>
      </w:r>
    </w:p>
    <w:p w:rsidR="00000000" w:rsidRPr="00184D17" w:rsidP="00184D17">
      <w:pPr>
        <w:pStyle w:val="Heading1"/>
      </w:pPr>
      <w:bookmarkStart w:id="5" w:name="O_636114"/>
      <w:bookmarkEnd w:id="5"/>
      <w:r w:rsidRPr="00184D17">
        <w:t>Unit Sector</w:t>
      </w:r>
    </w:p>
    <w:p w:rsidR="00000000" w:rsidRPr="00184D17" w:rsidP="00184D17">
      <w:pPr>
        <w:pStyle w:val="BodyText"/>
      </w:pPr>
      <w:r w:rsidRPr="00184D17">
        <w:t>Flooring technology</w:t>
      </w:r>
    </w:p>
    <w:p w:rsidR="00000000" w:rsidRPr="00184D17" w:rsidP="00184D17">
      <w:pPr>
        <w:pStyle w:val="AllowPageBreak"/>
      </w:pPr>
    </w:p>
    <w:p w:rsidR="00000000" w:rsidRPr="00184D17" w:rsidP="00184D17">
      <w:pPr>
        <w:pStyle w:val="Heading1"/>
      </w:pPr>
      <w:bookmarkStart w:id="6" w:name="O_636113"/>
      <w:bookmarkEnd w:id="6"/>
      <w:r w:rsidRPr="00184D17">
        <w:t xml:space="preserve">Elements </w:t>
      </w:r>
      <w:r w:rsidRPr="00184D17">
        <w:t>and Performance Criteria</w:t>
      </w:r>
    </w:p>
    <w:tbl>
      <w:tblPr>
        <w:tblW w:w="0" w:type="auto"/>
        <w:tblLayout w:type="fixed"/>
        <w:tblCellMar>
          <w:left w:w="62" w:type="dxa"/>
          <w:right w:w="62" w:type="dxa"/>
        </w:tblCellMar>
        <w:tblLook w:val="0000"/>
      </w:tblPr>
      <w:tblGrid>
        <w:gridCol w:w="678"/>
        <w:gridCol w:w="1962"/>
        <w:gridCol w:w="770"/>
        <w:gridCol w:w="5610"/>
      </w:tblGrid>
      <w:tr w:rsidTr="00184D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Performance criteria describe the performance needed to demonstrate achievement of the element.</w:t>
            </w:r>
          </w:p>
        </w:tc>
      </w:tr>
      <w:tr w:rsidTr="00184D1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1</w:t>
            </w:r>
          </w:p>
        </w:tc>
        <w:tc>
          <w:tcPr>
            <w:tcW w:w="1962" w:type="dxa"/>
            <w:vMerge w:val="restart"/>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Prepare for the work</w:t>
            </w: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1.1</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Applicable work health and safety (WHS), legislative, organisational and information requirements relevant to the application of epoxy and seamless floor coverings are verified and complied with</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1.2</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Work orders and/or plans are read and interpreted</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1.3</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The condition of the sub-floor is inspected and confirmed as suitable for use</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1.4</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Tools, equipment and materials are selected and checked prior to use to ensure that they are appropriate for the work, serviceable and in a safe condition</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1.5</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Floor</w:t>
            </w:r>
            <w:r w:rsidRPr="00184D17">
              <w:t xml:space="preserve"> preparation, including conventional and decorative formwork, is established, levelled and secured</w:t>
            </w:r>
          </w:p>
        </w:tc>
      </w:tr>
      <w:tr w:rsidTr="00184D1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2</w:t>
            </w:r>
          </w:p>
        </w:tc>
        <w:tc>
          <w:tcPr>
            <w:tcW w:w="1962" w:type="dxa"/>
            <w:vMerge w:val="restart"/>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Apply epoxy materials for floor coverings</w:t>
            </w: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2.1</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Surfaces are checked for contamination, moisture content and suitable preparation</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2.2</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Materials and equipment are prepared and positioned for use</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2.3</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Material safety data sheets (MSDS), or equivalent, are read and applied during the work</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2.4</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Epoxy is mixed and trial application of surface materials is made to check equipment operation</w:t>
            </w:r>
            <w:r w:rsidRPr="00184D17">
              <w:t>, materials consistency and specified surface finish</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2.5</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Surface coatings are applied with the depth and coverage in accordance with manufacturer specifications and job requirements</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2.6</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Decorative additives are applied in accordance with job requirements</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2.7</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Floor is checked and cleared for further processing</w:t>
            </w:r>
          </w:p>
        </w:tc>
      </w:tr>
      <w:tr w:rsidTr="00184D1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3</w:t>
            </w:r>
          </w:p>
        </w:tc>
        <w:tc>
          <w:tcPr>
            <w:tcW w:w="1962" w:type="dxa"/>
            <w:vMerge w:val="restart"/>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Complete housekeeping</w:t>
            </w: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3.1</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Unused materials are stored or recycled as required</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3.2</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Tools and equipment are cleaned and stored appropriately</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3.3</w:t>
            </w:r>
          </w:p>
        </w:tc>
        <w:tc>
          <w:tcPr>
            <w:tcW w:w="561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Work area is cleaned and rubbish disposed of appropriately</w:t>
            </w:r>
          </w:p>
        </w:tc>
      </w:tr>
      <w:tr w:rsidTr="00184D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3.4</w:t>
            </w:r>
          </w:p>
        </w:tc>
        <w:tc>
          <w:tcPr>
            <w:tcW w:w="5610" w:type="dxa"/>
            <w:tcBorders>
              <w:top w:val="nil"/>
              <w:left w:val="nil"/>
              <w:bottom w:val="nil"/>
              <w:right w:val="nil"/>
            </w:tcBorders>
            <w:tcMar>
              <w:top w:w="0" w:type="dxa"/>
              <w:left w:w="62" w:type="dxa"/>
              <w:bottom w:w="0" w:type="dxa"/>
              <w:right w:w="62" w:type="dxa"/>
            </w:tcMar>
          </w:tcPr>
          <w:p w:rsidR="00000000" w:rsidRPr="00184D17" w:rsidP="00184D17">
            <w:pPr>
              <w:pStyle w:val="BodyText"/>
            </w:pPr>
            <w:r w:rsidRPr="00184D17">
              <w:t>Workplace documentation is completed</w:t>
            </w:r>
          </w:p>
        </w:tc>
      </w:tr>
    </w:tbl>
    <w:p w:rsidR="00000000" w:rsidRPr="00184D17" w:rsidP="00184D17">
      <w:pPr>
        <w:pStyle w:val="BodyText"/>
      </w:pPr>
    </w:p>
    <w:p w:rsidR="00000000" w:rsidRPr="00184D17" w:rsidP="00184D17">
      <w:pPr>
        <w:pStyle w:val="AllowPageBreak"/>
      </w:pPr>
    </w:p>
    <w:p w:rsidR="00000000" w:rsidRPr="00184D17" w:rsidP="00184D17">
      <w:pPr>
        <w:pStyle w:val="Heading1"/>
      </w:pPr>
      <w:bookmarkStart w:id="7" w:name="O_636112"/>
      <w:bookmarkEnd w:id="7"/>
      <w:r w:rsidRPr="00184D17">
        <w:t>Foundation Skills</w:t>
      </w:r>
    </w:p>
    <w:p w:rsidR="006A2D65" w:rsidP="00184D17">
      <w:pPr>
        <w:pStyle w:val="BodyText"/>
      </w:pPr>
      <w:r w:rsidRPr="00184D17">
        <w:t>Foundation skills essential to performance are explicit in the performance criteria of this unit of competency. Detail on appropriate performance levels for each furnishing unit of competency in reading, writing, oral communication and numeracy utilising t</w:t>
      </w:r>
      <w:r w:rsidRPr="00184D17">
        <w:t xml:space="preserve">he Australian Core Skills Framework (ACSF) are provided in the Furnishing Training Package Implementation Guide. </w:t>
      </w:r>
    </w:p>
    <w:p w:rsidR="006A2D65" w:rsidP="00184D17">
      <w:pPr>
        <w:pStyle w:val="BodyText"/>
      </w:pPr>
    </w:p>
    <w:p w:rsidR="00000000" w:rsidRPr="00184D17" w:rsidP="00184D17">
      <w:pPr>
        <w:pStyle w:val="Heading1"/>
      </w:pPr>
      <w:bookmarkStart w:id="8" w:name="O_636111"/>
      <w:bookmarkEnd w:id="8"/>
      <w:r w:rsidRPr="00184D17">
        <w:t>Range of Conditions</w:t>
      </w:r>
    </w:p>
    <w:tbl>
      <w:tblPr>
        <w:tblW w:w="0" w:type="auto"/>
        <w:tblLayout w:type="fixed"/>
        <w:tblCellMar>
          <w:left w:w="62" w:type="dxa"/>
          <w:right w:w="62" w:type="dxa"/>
        </w:tblCellMar>
        <w:tblLook w:val="0000"/>
      </w:tblPr>
      <w:tblGrid>
        <w:gridCol w:w="2760"/>
        <w:gridCol w:w="6312"/>
      </w:tblGrid>
      <w:tr w:rsidTr="00184D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t>Specifies different work environments and conditions that may affect performance. Essential operating co</w:t>
            </w:r>
            <w:r w:rsidRPr="00184D17">
              <w:t>nditions that may be present (depending on the work situation, needs of the candidate, accessibility of the item, and local industry and regional contexts) are included. Range is restricted to essential operating conditions and any other variables essentia</w:t>
            </w:r>
            <w:r w:rsidRPr="00184D17">
              <w:t>l to the work environment.</w:t>
            </w:r>
          </w:p>
        </w:tc>
      </w:tr>
      <w:tr w:rsidTr="00184D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84D17" w:rsidP="00184D17">
            <w:pPr>
              <w:pStyle w:val="ListBullet"/>
            </w:pPr>
            <w:r w:rsidRPr="00184D17">
              <w:t xml:space="preserve">WHS requirements, including legislation, building codes, material safety management systems, hazardous and dangerous goods codes, and local safe operating procedures or equivalent </w:t>
            </w:r>
          </w:p>
          <w:p w:rsidR="00000000" w:rsidRPr="00184D17" w:rsidP="00184D17">
            <w:pPr>
              <w:pStyle w:val="ListBullet"/>
            </w:pPr>
            <w:r w:rsidRPr="00184D17">
              <w:t xml:space="preserve">work is carried out in accordance with legislative obligations, environmental legislation, relevant health regulations, manual handling procedures and organisation insurance requirements </w:t>
            </w:r>
          </w:p>
          <w:p w:rsidR="00000000" w:rsidP="00184D17">
            <w:pPr>
              <w:pStyle w:val="ListBullet"/>
              <w:rPr>
                <w:lang w:val="en-NZ"/>
              </w:rPr>
            </w:pPr>
            <w:r w:rsidRPr="00184D17">
              <w:t xml:space="preserve">work requires individuals to demonstrate some discretion, judgement </w:t>
            </w:r>
            <w:r w:rsidRPr="00184D17">
              <w:t xml:space="preserve">and problem solving </w:t>
            </w:r>
          </w:p>
        </w:tc>
      </w:tr>
      <w:tr w:rsidTr="00184D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rPr>
                <w:rStyle w:val="SpecialBold"/>
              </w:rPr>
              <w:t>Epoxy and seamless flooring includes:</w:t>
            </w:r>
          </w:p>
        </w:tc>
        <w:tc>
          <w:tcPr>
            <w:tcW w:w="6312" w:type="dxa"/>
            <w:tcBorders>
              <w:top w:val="nil"/>
              <w:left w:val="nil"/>
              <w:bottom w:val="nil"/>
              <w:right w:val="nil"/>
            </w:tcBorders>
            <w:tcMar>
              <w:top w:w="0" w:type="dxa"/>
              <w:left w:w="62" w:type="dxa"/>
              <w:bottom w:w="0" w:type="dxa"/>
              <w:right w:w="62" w:type="dxa"/>
            </w:tcMar>
          </w:tcPr>
          <w:p w:rsidR="00000000" w:rsidRPr="00184D17" w:rsidP="00184D17">
            <w:pPr>
              <w:pStyle w:val="ListBullet"/>
            </w:pPr>
            <w:r w:rsidRPr="00184D17">
              <w:t xml:space="preserve">trowelled epoxy </w:t>
            </w:r>
          </w:p>
          <w:p w:rsidR="00000000" w:rsidRPr="00184D17" w:rsidP="00184D17">
            <w:pPr>
              <w:pStyle w:val="ListBullet"/>
            </w:pPr>
            <w:r w:rsidRPr="00184D17">
              <w:t xml:space="preserve">self-levelling epoxy </w:t>
            </w:r>
          </w:p>
          <w:p w:rsidR="00000000" w:rsidRPr="00184D17" w:rsidP="00184D17">
            <w:pPr>
              <w:pStyle w:val="ListBullet"/>
            </w:pPr>
            <w:r w:rsidRPr="00184D17">
              <w:t>flake floors</w:t>
            </w:r>
          </w:p>
          <w:p w:rsidR="00000000" w:rsidRPr="00184D17" w:rsidP="00184D17">
            <w:pPr>
              <w:pStyle w:val="ListBullet"/>
            </w:pPr>
            <w:r w:rsidRPr="00184D17">
              <w:t xml:space="preserve">granule floors </w:t>
            </w:r>
          </w:p>
          <w:p w:rsidR="00000000" w:rsidRPr="00184D17" w:rsidP="00184D17">
            <w:pPr>
              <w:pStyle w:val="ListBullet"/>
            </w:pPr>
            <w:r w:rsidRPr="00184D17">
              <w:t xml:space="preserve">epoxy coatings (seamless) </w:t>
            </w:r>
          </w:p>
          <w:p w:rsidR="00000000" w:rsidRPr="00184D17" w:rsidP="00184D17">
            <w:pPr>
              <w:pStyle w:val="ListBullet"/>
            </w:pPr>
            <w:r w:rsidRPr="00184D17">
              <w:t xml:space="preserve">spray on roller coatings </w:t>
            </w:r>
          </w:p>
          <w:p w:rsidR="00000000" w:rsidRPr="00184D17" w:rsidP="00184D17">
            <w:pPr>
              <w:pStyle w:val="ListBullet"/>
            </w:pPr>
            <w:r w:rsidRPr="00184D17">
              <w:t xml:space="preserve">waterproofing </w:t>
            </w:r>
          </w:p>
          <w:p w:rsidR="00000000" w:rsidP="00184D17">
            <w:pPr>
              <w:pStyle w:val="ListBullet"/>
              <w:rPr>
                <w:lang w:val="en-NZ"/>
              </w:rPr>
            </w:pPr>
            <w:r w:rsidRPr="00184D17">
              <w:t>joint sealing</w:t>
            </w:r>
          </w:p>
        </w:tc>
      </w:tr>
      <w:tr w:rsidTr="00184D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rPr>
                <w:rStyle w:val="SpecialBold"/>
              </w:rPr>
              <w:t>Sub-floor preparation includes:</w:t>
            </w:r>
          </w:p>
        </w:tc>
        <w:tc>
          <w:tcPr>
            <w:tcW w:w="6312" w:type="dxa"/>
            <w:tcBorders>
              <w:top w:val="nil"/>
              <w:left w:val="nil"/>
              <w:bottom w:val="nil"/>
              <w:right w:val="nil"/>
            </w:tcBorders>
            <w:tcMar>
              <w:top w:w="0" w:type="dxa"/>
              <w:left w:w="62" w:type="dxa"/>
              <w:bottom w:w="0" w:type="dxa"/>
              <w:right w:w="62" w:type="dxa"/>
            </w:tcMar>
          </w:tcPr>
          <w:p w:rsidR="00000000" w:rsidRPr="00184D17" w:rsidP="00184D17">
            <w:pPr>
              <w:pStyle w:val="ListBullet"/>
            </w:pPr>
            <w:r w:rsidRPr="00184D17">
              <w:t xml:space="preserve">sanding </w:t>
            </w:r>
          </w:p>
          <w:p w:rsidR="00000000" w:rsidRPr="00184D17" w:rsidP="00184D17">
            <w:pPr>
              <w:pStyle w:val="ListBullet"/>
            </w:pPr>
            <w:r w:rsidRPr="00184D17">
              <w:t>gr</w:t>
            </w:r>
            <w:r w:rsidRPr="00184D17">
              <w:t xml:space="preserve">inding </w:t>
            </w:r>
          </w:p>
          <w:p w:rsidR="00000000" w:rsidP="00184D17">
            <w:pPr>
              <w:pStyle w:val="ListBullet"/>
              <w:rPr>
                <w:lang w:val="en-NZ"/>
              </w:rPr>
            </w:pPr>
            <w:r w:rsidRPr="00184D17">
              <w:t>the application of levelling compounds and primers</w:t>
            </w:r>
          </w:p>
        </w:tc>
      </w:tr>
      <w:tr w:rsidTr="00184D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rPr>
                <w:rStyle w:val="SpecialBold"/>
              </w:rPr>
              <w:t>General 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84D17" w:rsidP="00184D17">
            <w:pPr>
              <w:pStyle w:val="ListBullet"/>
            </w:pPr>
            <w:r w:rsidRPr="00184D17">
              <w:t xml:space="preserve">utility knife </w:t>
            </w:r>
          </w:p>
          <w:p w:rsidR="00000000" w:rsidRPr="00184D17" w:rsidP="00184D17">
            <w:pPr>
              <w:pStyle w:val="ListBullet"/>
            </w:pPr>
            <w:r w:rsidRPr="00184D17">
              <w:t>straight edge</w:t>
            </w:r>
          </w:p>
          <w:p w:rsidR="00000000" w:rsidRPr="00184D17" w:rsidP="00184D17">
            <w:pPr>
              <w:pStyle w:val="ListBullet"/>
            </w:pPr>
            <w:r w:rsidRPr="00184D17">
              <w:t xml:space="preserve">square </w:t>
            </w:r>
          </w:p>
          <w:p w:rsidR="00000000" w:rsidRPr="00184D17" w:rsidP="00184D17">
            <w:pPr>
              <w:pStyle w:val="ListBullet"/>
            </w:pPr>
            <w:r w:rsidRPr="00184D17">
              <w:t xml:space="preserve">tape measure </w:t>
            </w:r>
          </w:p>
          <w:p w:rsidR="00000000" w:rsidRPr="00184D17" w:rsidP="00184D17">
            <w:pPr>
              <w:pStyle w:val="ListBullet"/>
            </w:pPr>
            <w:r w:rsidRPr="00184D17">
              <w:t xml:space="preserve">trowels </w:t>
            </w:r>
          </w:p>
          <w:p w:rsidR="00000000" w:rsidRPr="00184D17" w:rsidP="00184D17">
            <w:pPr>
              <w:pStyle w:val="ListBullet"/>
            </w:pPr>
            <w:r w:rsidRPr="00184D17">
              <w:t xml:space="preserve">rollers </w:t>
            </w:r>
          </w:p>
          <w:p w:rsidR="00000000" w:rsidRPr="00184D17" w:rsidP="00184D17">
            <w:pPr>
              <w:pStyle w:val="ListBullet"/>
            </w:pPr>
            <w:r w:rsidRPr="00184D17">
              <w:t xml:space="preserve">brushes </w:t>
            </w:r>
          </w:p>
          <w:p w:rsidR="00000000" w:rsidRPr="00184D17" w:rsidP="00184D17">
            <w:pPr>
              <w:pStyle w:val="ListBullet"/>
            </w:pPr>
            <w:r w:rsidRPr="00184D17">
              <w:t xml:space="preserve">buckets  </w:t>
            </w:r>
          </w:p>
          <w:p w:rsidR="00000000" w:rsidP="00184D17">
            <w:pPr>
              <w:pStyle w:val="ListBullet"/>
              <w:rPr>
                <w:lang w:val="en-NZ"/>
              </w:rPr>
            </w:pPr>
            <w:r w:rsidRPr="00184D17">
              <w:t>trolley</w:t>
            </w:r>
          </w:p>
        </w:tc>
      </w:tr>
      <w:tr w:rsidTr="00184D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rPr>
                <w:rStyle w:val="SpecialBold"/>
              </w:rPr>
              <w:t>Sanding equipment includes:</w:t>
            </w:r>
          </w:p>
        </w:tc>
        <w:tc>
          <w:tcPr>
            <w:tcW w:w="6312" w:type="dxa"/>
            <w:tcBorders>
              <w:top w:val="nil"/>
              <w:left w:val="nil"/>
              <w:bottom w:val="nil"/>
              <w:right w:val="nil"/>
            </w:tcBorders>
            <w:tcMar>
              <w:top w:w="0" w:type="dxa"/>
              <w:left w:w="62" w:type="dxa"/>
              <w:bottom w:w="0" w:type="dxa"/>
              <w:right w:w="62" w:type="dxa"/>
            </w:tcMar>
          </w:tcPr>
          <w:p w:rsidR="00000000" w:rsidRPr="00184D17" w:rsidP="00184D17">
            <w:pPr>
              <w:pStyle w:val="ListBullet"/>
            </w:pPr>
            <w:r w:rsidRPr="00184D17">
              <w:t>sander</w:t>
            </w:r>
          </w:p>
          <w:p w:rsidR="00000000" w:rsidRPr="00184D17" w:rsidP="00184D17">
            <w:pPr>
              <w:pStyle w:val="ListBullet"/>
            </w:pPr>
            <w:r w:rsidRPr="00184D17">
              <w:t xml:space="preserve">edger </w:t>
            </w:r>
          </w:p>
          <w:p w:rsidR="00000000" w:rsidRPr="00184D17" w:rsidP="00184D17">
            <w:pPr>
              <w:pStyle w:val="ListBullet"/>
            </w:pPr>
            <w:r w:rsidRPr="00184D17">
              <w:t xml:space="preserve">belt-sander </w:t>
            </w:r>
          </w:p>
          <w:p w:rsidR="00000000" w:rsidP="00184D17">
            <w:pPr>
              <w:pStyle w:val="ListBullet"/>
              <w:rPr>
                <w:lang w:val="en-NZ"/>
              </w:rPr>
            </w:pPr>
            <w:r w:rsidRPr="00184D17">
              <w:t>sander belts and paper</w:t>
            </w:r>
          </w:p>
        </w:tc>
      </w:tr>
      <w:tr w:rsidTr="00184D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84D17" w:rsidP="00184D17">
            <w:pPr>
              <w:pStyle w:val="ListBullet"/>
            </w:pPr>
            <w:r w:rsidRPr="00184D17">
              <w:t xml:space="preserve">acrylics </w:t>
            </w:r>
          </w:p>
          <w:p w:rsidR="00000000" w:rsidRPr="00184D17" w:rsidP="00184D17">
            <w:pPr>
              <w:pStyle w:val="ListBullet"/>
            </w:pPr>
            <w:r w:rsidRPr="00184D17">
              <w:t xml:space="preserve">epoxy </w:t>
            </w:r>
          </w:p>
          <w:p w:rsidR="00000000" w:rsidRPr="00184D17" w:rsidP="00184D17">
            <w:pPr>
              <w:pStyle w:val="ListBullet"/>
            </w:pPr>
            <w:r w:rsidRPr="00184D17">
              <w:t xml:space="preserve">polyurethane </w:t>
            </w:r>
          </w:p>
          <w:p w:rsidR="00000000" w:rsidRPr="00184D17" w:rsidP="00184D17">
            <w:pPr>
              <w:pStyle w:val="ListBullet"/>
            </w:pPr>
            <w:r w:rsidRPr="00184D17">
              <w:t xml:space="preserve">separating strips </w:t>
            </w:r>
          </w:p>
          <w:p w:rsidR="00000000" w:rsidRPr="00184D17" w:rsidP="00184D17">
            <w:pPr>
              <w:pStyle w:val="ListBullet"/>
            </w:pPr>
            <w:r w:rsidRPr="00184D17">
              <w:t xml:space="preserve">flushing strips </w:t>
            </w:r>
          </w:p>
          <w:p w:rsidR="00000000" w:rsidRPr="00184D17" w:rsidP="00184D17">
            <w:pPr>
              <w:pStyle w:val="ListBullet"/>
            </w:pPr>
            <w:r w:rsidRPr="00184D17">
              <w:t xml:space="preserve">joining strips </w:t>
            </w:r>
          </w:p>
          <w:p w:rsidR="00000000" w:rsidRPr="00184D17" w:rsidP="00184D17">
            <w:pPr>
              <w:pStyle w:val="ListBullet"/>
            </w:pPr>
            <w:r w:rsidRPr="00184D17">
              <w:t xml:space="preserve">expansion jointing </w:t>
            </w:r>
          </w:p>
          <w:p w:rsidR="00000000" w:rsidRPr="00184D17" w:rsidP="00184D17">
            <w:pPr>
              <w:pStyle w:val="ListBullet"/>
            </w:pPr>
            <w:r w:rsidRPr="00184D17">
              <w:t xml:space="preserve">additives (flakes and granules) </w:t>
            </w:r>
          </w:p>
          <w:p w:rsidR="00000000" w:rsidP="00184D17">
            <w:pPr>
              <w:pStyle w:val="ListBullet"/>
              <w:rPr>
                <w:lang w:val="en-NZ"/>
              </w:rPr>
            </w:pPr>
            <w:r w:rsidRPr="00184D17">
              <w:t>oil and lubricants for equipment</w:t>
            </w:r>
          </w:p>
        </w:tc>
      </w:tr>
      <w:tr w:rsidTr="00184D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rPr>
                <w:rStyle w:val="SpecialBold"/>
              </w:rPr>
              <w:t>Grinding equipment includes:</w:t>
            </w:r>
          </w:p>
        </w:tc>
        <w:tc>
          <w:tcPr>
            <w:tcW w:w="6312" w:type="dxa"/>
            <w:tcBorders>
              <w:top w:val="nil"/>
              <w:left w:val="nil"/>
              <w:bottom w:val="nil"/>
              <w:right w:val="nil"/>
            </w:tcBorders>
            <w:tcMar>
              <w:top w:w="0" w:type="dxa"/>
              <w:left w:w="62" w:type="dxa"/>
              <w:bottom w:w="0" w:type="dxa"/>
              <w:right w:w="62" w:type="dxa"/>
            </w:tcMar>
          </w:tcPr>
          <w:p w:rsidR="00000000" w:rsidRPr="00184D17" w:rsidP="00184D17">
            <w:pPr>
              <w:pStyle w:val="ListBullet"/>
            </w:pPr>
            <w:r w:rsidRPr="00184D17">
              <w:t xml:space="preserve">grinder </w:t>
            </w:r>
          </w:p>
          <w:p w:rsidR="00000000" w:rsidP="00184D17">
            <w:pPr>
              <w:pStyle w:val="ListBullet"/>
              <w:rPr>
                <w:lang w:val="en-NZ"/>
              </w:rPr>
            </w:pPr>
            <w:r w:rsidRPr="00184D17">
              <w:t>grinding stones and materials</w:t>
            </w:r>
          </w:p>
        </w:tc>
      </w:tr>
      <w:tr w:rsidTr="00184D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D17">
            <w:pPr>
              <w:pStyle w:val="BodyText"/>
              <w:rPr>
                <w:lang w:val="en-NZ"/>
              </w:rPr>
            </w:pPr>
            <w:r w:rsidRPr="00184D1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84D17">
            <w:pPr>
              <w:pStyle w:val="ListBullet"/>
              <w:rPr>
                <w:lang w:val="en-NZ"/>
              </w:rPr>
            </w:pPr>
            <w:r w:rsidRPr="00184D17">
              <w:t xml:space="preserve">that prescribed under legislation, regulations and enterprise policies and practices </w:t>
            </w:r>
          </w:p>
        </w:tc>
      </w:tr>
      <w:tr w:rsidTr="00184D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84D17" w:rsidP="00184D17">
            <w:pPr>
              <w:pStyle w:val="BodyText"/>
            </w:pPr>
            <w:r w:rsidRPr="00184D17">
              <w:rPr>
                <w:rStyle w:val="SpecialBold"/>
              </w:rPr>
              <w:t>Information and procedures include:</w:t>
            </w:r>
          </w:p>
          <w:p w:rsidR="00000000" w:rsidP="00184D1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84D17" w:rsidP="00184D17">
            <w:pPr>
              <w:pStyle w:val="ListBullet"/>
            </w:pPr>
            <w:r w:rsidRPr="00184D17">
              <w:t>workplace procedures relating to the use of tools and equip</w:t>
            </w:r>
            <w:r w:rsidRPr="00184D17">
              <w:t xml:space="preserve">ment </w:t>
            </w:r>
          </w:p>
          <w:p w:rsidR="00000000" w:rsidRPr="00184D17" w:rsidP="00184D17">
            <w:pPr>
              <w:pStyle w:val="ListBullet"/>
            </w:pPr>
            <w:r w:rsidRPr="00184D17">
              <w:t xml:space="preserve">work instructions, including job sheets, cutting lists, plans, drawings and designs </w:t>
            </w:r>
          </w:p>
          <w:p w:rsidR="00000000" w:rsidRPr="00184D17" w:rsidP="00184D17">
            <w:pPr>
              <w:pStyle w:val="ListBullet"/>
            </w:pPr>
            <w:r w:rsidRPr="00184D17">
              <w:t xml:space="preserve">workplace procedures relating to reporting and communication </w:t>
            </w:r>
          </w:p>
          <w:p w:rsidR="00000000" w:rsidRPr="00184D17" w:rsidP="00184D17">
            <w:pPr>
              <w:pStyle w:val="ListBullet"/>
            </w:pPr>
            <w:r w:rsidRPr="00184D17">
              <w:t xml:space="preserve">manufacturer specifications and operational procedures </w:t>
            </w:r>
          </w:p>
        </w:tc>
      </w:tr>
    </w:tbl>
    <w:p w:rsidR="00000000" w:rsidRPr="00184D17" w:rsidP="00184D17">
      <w:pPr>
        <w:pStyle w:val="BodyText"/>
      </w:pPr>
    </w:p>
    <w:p w:rsidR="00000000" w:rsidRPr="00184D17" w:rsidP="00184D17">
      <w:pPr>
        <w:pStyle w:val="AllowPageBreak"/>
      </w:pPr>
    </w:p>
    <w:p w:rsidR="00000000" w:rsidRPr="00184D17" w:rsidP="00184D17">
      <w:pPr>
        <w:pStyle w:val="Heading1"/>
      </w:pPr>
      <w:bookmarkStart w:id="9" w:name="O_636110"/>
      <w:bookmarkEnd w:id="9"/>
      <w:r w:rsidRPr="00184D17">
        <w:t>Unit Mapping Information</w:t>
      </w:r>
    </w:p>
    <w:p w:rsidR="00000000" w:rsidRPr="00184D17" w:rsidP="00184D17">
      <w:pPr>
        <w:pStyle w:val="BodyText"/>
      </w:pPr>
      <w:r w:rsidRPr="00184D17">
        <w:t>Supersedes and is equivalent to LMFFL3401A Mix and apply epoxy and seamless floor coverings</w:t>
      </w:r>
    </w:p>
    <w:p w:rsidR="00000000" w:rsidRPr="00184D17" w:rsidP="00184D17">
      <w:pPr>
        <w:pStyle w:val="AllowPageBreak"/>
      </w:pPr>
    </w:p>
    <w:p w:rsidR="00000000" w:rsidRPr="00184D17" w:rsidP="00184D17">
      <w:pPr>
        <w:pStyle w:val="Heading1"/>
      </w:pPr>
      <w:bookmarkStart w:id="10" w:name="O_636103"/>
      <w:bookmarkEnd w:id="10"/>
      <w:r w:rsidRPr="00184D17">
        <w:t>Links</w:t>
      </w:r>
    </w:p>
    <w:p w:rsidR="00000000" w:rsidRPr="00184D17" w:rsidP="00184D17">
      <w:pPr>
        <w:pStyle w:val="BodyText"/>
      </w:pPr>
      <w:r w:rsidRPr="00184D17">
        <w:t>Companion Volume implementation guides are found in VETNet - https://vetnet.education.gov.au/Pages/TrainingDocs.aspx?q=0601ab95-583a-4e93-b2d4-cfb27b03ed73</w:t>
      </w:r>
    </w:p>
    <w:p w:rsidR="00000000" w:rsidRPr="00184D17" w:rsidP="00184D17"/>
    <w:sectPr w:rsidSect="00184D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D17" w:rsidRPr="006A2D65" w:rsidP="006A2D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65" w:rsidP="00184D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A2D65" w:rsidP="00184D1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2D65" w:rsidP="00184D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D17" w:rsidRPr="006A2D65" w:rsidP="006A2D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65" w:rsidRPr="002D2AF8" w:rsidP="00184D17">
    <w:pPr>
      <w:pStyle w:val="Header"/>
      <w:framePr w:wrap="around"/>
    </w:pPr>
    <w:r>
      <w:fldChar w:fldCharType="begin"/>
    </w:r>
    <w:r>
      <w:instrText xml:space="preserve"> TITLE   \* MERGEFORMAT </w:instrText>
    </w:r>
    <w:r>
      <w:fldChar w:fldCharType="separate"/>
    </w:r>
    <w:r>
      <w:t>MSFFL3022 Mix and apply epoxy and seamless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6A2D65" w:rsidP="00184D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16D2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4287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D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D17"/>
    <w:pPr>
      <w:spacing w:before="360" w:after="60"/>
      <w:outlineLvl w:val="0"/>
    </w:pPr>
    <w:rPr>
      <w:sz w:val="32"/>
    </w:rPr>
  </w:style>
  <w:style w:type="paragraph" w:styleId="Heading2">
    <w:name w:val="heading 2"/>
    <w:basedOn w:val="HeadingBase"/>
    <w:next w:val="BodyText"/>
    <w:link w:val="Heading2Char"/>
    <w:qFormat/>
    <w:rsid w:val="00184D17"/>
    <w:pPr>
      <w:keepLines/>
      <w:spacing w:before="240" w:after="120"/>
      <w:outlineLvl w:val="1"/>
    </w:pPr>
    <w:rPr>
      <w:sz w:val="28"/>
      <w:szCs w:val="40"/>
    </w:rPr>
  </w:style>
  <w:style w:type="paragraph" w:styleId="Heading3">
    <w:name w:val="heading 3"/>
    <w:basedOn w:val="HeadingBase"/>
    <w:next w:val="BodyText"/>
    <w:link w:val="Heading3Char"/>
    <w:qFormat/>
    <w:rsid w:val="00184D17"/>
    <w:pPr>
      <w:spacing w:before="180" w:after="120"/>
      <w:outlineLvl w:val="2"/>
    </w:pPr>
    <w:rPr>
      <w:spacing w:val="-10"/>
      <w:kern w:val="32"/>
    </w:rPr>
  </w:style>
  <w:style w:type="paragraph" w:styleId="Heading4">
    <w:name w:val="heading 4"/>
    <w:basedOn w:val="HeadingBase"/>
    <w:next w:val="BodyText"/>
    <w:link w:val="Heading4Char"/>
    <w:qFormat/>
    <w:rsid w:val="00184D17"/>
    <w:pPr>
      <w:spacing w:before="160" w:after="120"/>
      <w:outlineLvl w:val="3"/>
    </w:pPr>
    <w:rPr>
      <w:sz w:val="22"/>
    </w:rPr>
  </w:style>
  <w:style w:type="paragraph" w:styleId="Heading5">
    <w:name w:val="heading 5"/>
    <w:basedOn w:val="HeadingBase"/>
    <w:next w:val="Normal"/>
    <w:link w:val="Heading5Char"/>
    <w:qFormat/>
    <w:rsid w:val="00184D17"/>
    <w:pPr>
      <w:spacing w:before="80"/>
      <w:outlineLvl w:val="4"/>
    </w:pPr>
    <w:rPr>
      <w:color w:val="918585"/>
      <w:sz w:val="20"/>
    </w:rPr>
  </w:style>
  <w:style w:type="paragraph" w:styleId="Heading6">
    <w:name w:val="heading 6"/>
    <w:basedOn w:val="HeadingBase"/>
    <w:next w:val="Normal"/>
    <w:link w:val="Heading6Char"/>
    <w:qFormat/>
    <w:rsid w:val="00184D17"/>
    <w:pPr>
      <w:spacing w:before="60"/>
      <w:outlineLvl w:val="5"/>
    </w:pPr>
    <w:rPr>
      <w:color w:val="918585"/>
      <w:sz w:val="20"/>
    </w:rPr>
  </w:style>
  <w:style w:type="paragraph" w:styleId="Heading7">
    <w:name w:val="heading 7"/>
    <w:basedOn w:val="Normal"/>
    <w:next w:val="Normal"/>
    <w:link w:val="Heading7Char"/>
    <w:qFormat/>
    <w:rsid w:val="00184D17"/>
    <w:pPr>
      <w:ind w:left="720"/>
      <w:outlineLvl w:val="6"/>
    </w:pPr>
    <w:rPr>
      <w:i/>
    </w:rPr>
  </w:style>
  <w:style w:type="paragraph" w:styleId="Heading8">
    <w:name w:val="heading 8"/>
    <w:basedOn w:val="Normal"/>
    <w:next w:val="Normal"/>
    <w:link w:val="Heading8Char"/>
    <w:qFormat/>
    <w:rsid w:val="00184D17"/>
    <w:pPr>
      <w:ind w:left="720"/>
      <w:outlineLvl w:val="7"/>
    </w:pPr>
    <w:rPr>
      <w:i/>
    </w:rPr>
  </w:style>
  <w:style w:type="paragraph" w:styleId="Heading9">
    <w:name w:val="heading 9"/>
    <w:basedOn w:val="Normal"/>
    <w:next w:val="Normal"/>
    <w:link w:val="Heading9Char"/>
    <w:qFormat/>
    <w:rsid w:val="00184D17"/>
    <w:pPr>
      <w:ind w:left="720"/>
      <w:outlineLvl w:val="8"/>
    </w:pPr>
    <w:rPr>
      <w:i/>
    </w:rPr>
  </w:style>
  <w:style w:type="character" w:default="1" w:styleId="DefaultParagraphFont">
    <w:name w:val="Default Paragraph Font"/>
    <w:uiPriority w:val="1"/>
    <w:unhideWhenUsed/>
    <w:rsid w:val="00184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D17"/>
  </w:style>
  <w:style w:type="character" w:customStyle="1" w:styleId="Heading1Char">
    <w:name w:val="Heading 1 Char"/>
    <w:basedOn w:val="DefaultParagraphFont"/>
    <w:link w:val="Heading1"/>
    <w:rsid w:val="00184D17"/>
    <w:rPr>
      <w:rFonts w:ascii="Times New Roman" w:eastAsia="Times New Roman" w:hAnsi="Times New Roman" w:cs="Times New Roman"/>
      <w:b/>
      <w:sz w:val="32"/>
      <w:szCs w:val="20"/>
      <w:lang w:eastAsia="en-US"/>
    </w:rPr>
  </w:style>
  <w:style w:type="paragraph" w:styleId="BodyText">
    <w:name w:val="Body Text"/>
    <w:basedOn w:val="Normal"/>
    <w:link w:val="BodyTextChar"/>
    <w:rsid w:val="00184D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4D17"/>
    <w:rPr>
      <w:rFonts w:ascii="Times New Roman" w:eastAsia="Times New Roman" w:hAnsi="Times New Roman" w:cs="Times New Roman"/>
      <w:sz w:val="24"/>
      <w:lang w:eastAsia="en-US"/>
    </w:rPr>
  </w:style>
  <w:style w:type="paragraph" w:styleId="ListBullet">
    <w:name w:val="List Bullet"/>
    <w:basedOn w:val="List"/>
    <w:rsid w:val="00184D17"/>
    <w:pPr>
      <w:numPr>
        <w:numId w:val="12"/>
      </w:numPr>
      <w:tabs>
        <w:tab w:val="clear" w:pos="340"/>
      </w:tabs>
      <w:spacing w:before="40" w:after="40"/>
    </w:pPr>
  </w:style>
  <w:style w:type="character" w:customStyle="1" w:styleId="SpecialBold">
    <w:name w:val="Special Bold"/>
    <w:basedOn w:val="DefaultParagraphFont"/>
    <w:rsid w:val="00184D17"/>
    <w:rPr>
      <w:b/>
      <w:spacing w:val="0"/>
    </w:rPr>
  </w:style>
  <w:style w:type="paragraph" w:customStyle="1" w:styleId="SuperHeading">
    <w:name w:val="SuperHeading"/>
    <w:basedOn w:val="Normal"/>
    <w:rsid w:val="00184D17"/>
    <w:pPr>
      <w:spacing w:before="240" w:after="120"/>
      <w:outlineLvl w:val="0"/>
    </w:pPr>
    <w:rPr>
      <w:rFonts w:ascii="Times New Roman" w:hAnsi="Times New Roman"/>
      <w:b/>
      <w:sz w:val="32"/>
    </w:rPr>
  </w:style>
  <w:style w:type="paragraph" w:customStyle="1" w:styleId="AllowPageBreak">
    <w:name w:val="AllowPageBreak"/>
    <w:rsid w:val="00184D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4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D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D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D17"/>
    <w:rPr>
      <w:rFonts w:ascii="Courier New" w:eastAsia="Times New Roman" w:hAnsi="Courier New" w:cs="Times New Roman"/>
      <w:i/>
      <w:szCs w:val="20"/>
      <w:lang w:eastAsia="en-US"/>
    </w:rPr>
  </w:style>
  <w:style w:type="paragraph" w:customStyle="1" w:styleId="HeadingBase">
    <w:name w:val="Heading Base"/>
    <w:rsid w:val="00184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D17"/>
    <w:pPr>
      <w:tabs>
        <w:tab w:val="right" w:leader="dot" w:pos="9072"/>
      </w:tabs>
      <w:ind w:left="567"/>
    </w:pPr>
    <w:rPr>
      <w:szCs w:val="22"/>
    </w:rPr>
  </w:style>
  <w:style w:type="paragraph" w:customStyle="1" w:styleId="TOCBase">
    <w:name w:val="TOC Base"/>
    <w:rsid w:val="00184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D17"/>
    <w:pPr>
      <w:tabs>
        <w:tab w:val="right" w:leader="dot" w:pos="9072"/>
      </w:tabs>
      <w:spacing w:before="40" w:after="40"/>
      <w:ind w:left="284"/>
    </w:pPr>
    <w:rPr>
      <w:rFonts w:ascii="Times New Roman" w:hAnsi="Times New Roman"/>
    </w:rPr>
  </w:style>
  <w:style w:type="paragraph" w:styleId="TOC1">
    <w:name w:val="toc 1"/>
    <w:basedOn w:val="TOCBase"/>
    <w:next w:val="Normal"/>
    <w:rsid w:val="00184D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D17"/>
    <w:rPr>
      <w:rFonts w:ascii="Times New Roman" w:eastAsia="Times New Roman" w:hAnsi="Times New Roman" w:cs="Times New Roman"/>
      <w:sz w:val="16"/>
      <w:lang w:eastAsia="en-US"/>
    </w:rPr>
  </w:style>
  <w:style w:type="paragraph" w:styleId="Title">
    <w:name w:val="Title"/>
    <w:basedOn w:val="HeadingBase"/>
    <w:link w:val="TitleChar"/>
    <w:qFormat/>
    <w:rsid w:val="00184D17"/>
    <w:pPr>
      <w:spacing w:before="5040"/>
      <w:jc w:val="center"/>
    </w:pPr>
    <w:rPr>
      <w:sz w:val="48"/>
      <w:szCs w:val="72"/>
      <w:lang w:val="en-US"/>
    </w:rPr>
  </w:style>
  <w:style w:type="character" w:customStyle="1" w:styleId="TitleChar">
    <w:name w:val="Title Char"/>
    <w:basedOn w:val="DefaultParagraphFont"/>
    <w:link w:val="Title"/>
    <w:rsid w:val="00184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D17"/>
    <w:pPr>
      <w:tabs>
        <w:tab w:val="left" w:pos="3600"/>
        <w:tab w:val="left" w:pos="3958"/>
      </w:tabs>
    </w:pPr>
  </w:style>
  <w:style w:type="paragraph" w:styleId="List">
    <w:name w:val="List"/>
    <w:basedOn w:val="BodyText"/>
    <w:next w:val="BodyText"/>
    <w:rsid w:val="00184D17"/>
    <w:pPr>
      <w:tabs>
        <w:tab w:val="left" w:pos="340"/>
      </w:tabs>
      <w:spacing w:before="60" w:after="60"/>
      <w:ind w:left="340" w:hanging="340"/>
    </w:pPr>
  </w:style>
  <w:style w:type="paragraph" w:customStyle="1" w:styleId="Note">
    <w:name w:val="Note"/>
    <w:basedOn w:val="BodyText"/>
    <w:rsid w:val="00184D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D17"/>
    <w:pPr>
      <w:framePr w:wrap="auto" w:hAnchor="text" w:y="6049"/>
    </w:pPr>
    <w:rPr>
      <w:color w:val="000000"/>
      <w:sz w:val="40"/>
    </w:rPr>
  </w:style>
  <w:style w:type="paragraph" w:customStyle="1" w:styleId="TOCTitle">
    <w:name w:val="TOCTitle"/>
    <w:basedOn w:val="Heading1"/>
    <w:rsid w:val="00184D17"/>
    <w:pPr>
      <w:spacing w:after="240"/>
      <w:jc w:val="center"/>
      <w:outlineLvl w:val="9"/>
    </w:pPr>
    <w:rPr>
      <w:caps/>
    </w:rPr>
  </w:style>
  <w:style w:type="paragraph" w:customStyle="1" w:styleId="Version">
    <w:name w:val="Version"/>
    <w:rsid w:val="00184D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4D17"/>
    <w:pPr>
      <w:numPr>
        <w:numId w:val="13"/>
      </w:numPr>
      <w:tabs>
        <w:tab w:val="clear" w:pos="680"/>
      </w:tabs>
    </w:pPr>
  </w:style>
  <w:style w:type="paragraph" w:styleId="Index1">
    <w:name w:val="index 1"/>
    <w:basedOn w:val="Normal"/>
    <w:next w:val="Normal"/>
    <w:semiHidden/>
    <w:rsid w:val="00184D17"/>
    <w:pPr>
      <w:keepNext w:val="0"/>
      <w:tabs>
        <w:tab w:val="right" w:pos="4176"/>
      </w:tabs>
      <w:ind w:left="198" w:hanging="198"/>
    </w:pPr>
    <w:rPr>
      <w:rFonts w:ascii="Garamond" w:hAnsi="Garamond"/>
    </w:rPr>
  </w:style>
  <w:style w:type="paragraph" w:styleId="IndexHeading">
    <w:name w:val="index heading"/>
    <w:basedOn w:val="Normal"/>
    <w:next w:val="Index1"/>
    <w:semiHidden/>
    <w:rsid w:val="00184D17"/>
    <w:pPr>
      <w:spacing w:before="120" w:after="120"/>
    </w:pPr>
    <w:rPr>
      <w:rFonts w:ascii="Arial" w:hAnsi="Arial"/>
      <w:b/>
      <w:color w:val="918585"/>
      <w:sz w:val="24"/>
    </w:rPr>
  </w:style>
  <w:style w:type="paragraph" w:styleId="Header">
    <w:name w:val="header"/>
    <w:basedOn w:val="Normal"/>
    <w:link w:val="HeaderChar"/>
    <w:rsid w:val="00184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D17"/>
    <w:rPr>
      <w:rFonts w:ascii="Times New Roman" w:eastAsia="Times New Roman" w:hAnsi="Times New Roman" w:cs="Times New Roman"/>
      <w:sz w:val="16"/>
      <w:szCs w:val="20"/>
      <w:lang w:val="en-GB" w:eastAsia="en-US"/>
    </w:rPr>
  </w:style>
  <w:style w:type="paragraph" w:customStyle="1" w:styleId="Chapter">
    <w:name w:val="Chapter"/>
    <w:basedOn w:val="Normal"/>
    <w:rsid w:val="00184D17"/>
    <w:pPr>
      <w:spacing w:before="240"/>
    </w:pPr>
    <w:rPr>
      <w:rFonts w:ascii="Times New Roman" w:hAnsi="Times New Roman"/>
      <w:smallCaps/>
      <w:spacing w:val="80"/>
      <w:sz w:val="28"/>
    </w:rPr>
  </w:style>
  <w:style w:type="paragraph" w:customStyle="1" w:styleId="InChapter">
    <w:name w:val="InChapter"/>
    <w:basedOn w:val="Heading3"/>
    <w:rsid w:val="00184D17"/>
    <w:pPr>
      <w:spacing w:after="240"/>
      <w:outlineLvl w:val="9"/>
    </w:pPr>
    <w:rPr>
      <w:noProof/>
    </w:rPr>
  </w:style>
  <w:style w:type="paragraph" w:styleId="Index2">
    <w:name w:val="index 2"/>
    <w:basedOn w:val="Normal"/>
    <w:next w:val="Normal"/>
    <w:semiHidden/>
    <w:rsid w:val="00184D17"/>
    <w:pPr>
      <w:tabs>
        <w:tab w:val="right" w:pos="4176"/>
      </w:tabs>
      <w:ind w:left="568" w:hanging="284"/>
    </w:pPr>
    <w:rPr>
      <w:rFonts w:ascii="Garamond" w:hAnsi="Garamond"/>
    </w:rPr>
  </w:style>
  <w:style w:type="paragraph" w:customStyle="1" w:styleId="Byline">
    <w:name w:val="Byline"/>
    <w:rsid w:val="00184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D17"/>
    <w:pPr>
      <w:tabs>
        <w:tab w:val="clear" w:pos="3600"/>
        <w:tab w:val="clear" w:pos="3958"/>
      </w:tabs>
      <w:jc w:val="right"/>
    </w:pPr>
  </w:style>
  <w:style w:type="character" w:styleId="Emphasis">
    <w:name w:val="Emphasis"/>
    <w:basedOn w:val="DefaultParagraphFont"/>
    <w:qFormat/>
    <w:rsid w:val="00184D17"/>
    <w:rPr>
      <w:i/>
    </w:rPr>
  </w:style>
  <w:style w:type="paragraph" w:styleId="Caption">
    <w:name w:val="caption"/>
    <w:basedOn w:val="BodyText"/>
    <w:next w:val="Normal"/>
    <w:qFormat/>
    <w:rsid w:val="00184D17"/>
    <w:pPr>
      <w:framePr w:w="2268" w:hSpace="181" w:vSpace="181" w:wrap="around" w:vAnchor="text" w:hAnchor="page" w:x="1135" w:y="285" w:anchorLock="1"/>
    </w:pPr>
    <w:rPr>
      <w:i/>
    </w:rPr>
  </w:style>
  <w:style w:type="paragraph" w:customStyle="1" w:styleId="MiniTOCTitle">
    <w:name w:val="MiniTOCTitle"/>
    <w:basedOn w:val="Heading4"/>
    <w:rsid w:val="00184D17"/>
    <w:pPr>
      <w:spacing w:before="240"/>
      <w:outlineLvl w:val="9"/>
    </w:pPr>
    <w:rPr>
      <w:noProof/>
      <w:sz w:val="24"/>
    </w:rPr>
  </w:style>
  <w:style w:type="paragraph" w:customStyle="1" w:styleId="MiniTOCItem">
    <w:name w:val="MiniTOCItem"/>
    <w:basedOn w:val="ListBullet"/>
    <w:rsid w:val="00184D17"/>
    <w:pPr>
      <w:numPr>
        <w:numId w:val="0"/>
      </w:numPr>
      <w:tabs>
        <w:tab w:val="right" w:leader="dot" w:pos="6521"/>
      </w:tabs>
      <w:spacing w:before="0" w:after="0"/>
    </w:pPr>
  </w:style>
  <w:style w:type="paragraph" w:customStyle="1" w:styleId="TOFTitle">
    <w:name w:val="TOFTitle"/>
    <w:basedOn w:val="TOCTitle"/>
    <w:rsid w:val="00184D17"/>
  </w:style>
  <w:style w:type="paragraph" w:styleId="TableofFigures">
    <w:name w:val="table of figures"/>
    <w:basedOn w:val="Normal"/>
    <w:next w:val="Normal"/>
    <w:semiHidden/>
    <w:rsid w:val="00184D17"/>
    <w:pPr>
      <w:tabs>
        <w:tab w:val="right" w:leader="dot" w:pos="9072"/>
      </w:tabs>
      <w:ind w:left="970" w:hanging="403"/>
    </w:pPr>
    <w:rPr>
      <w:rFonts w:ascii="Times New Roman" w:hAnsi="Times New Roman"/>
      <w:b/>
    </w:rPr>
  </w:style>
  <w:style w:type="paragraph" w:styleId="ListNumber">
    <w:name w:val="List Number"/>
    <w:basedOn w:val="List"/>
    <w:rsid w:val="00184D17"/>
    <w:pPr>
      <w:numPr>
        <w:numId w:val="10"/>
      </w:numPr>
    </w:pPr>
  </w:style>
  <w:style w:type="character" w:customStyle="1" w:styleId="WingdingSymbols">
    <w:name w:val="Wingding Symbols"/>
    <w:rsid w:val="00184D17"/>
    <w:rPr>
      <w:rFonts w:ascii="Wingdings" w:hAnsi="Wingdings"/>
    </w:rPr>
  </w:style>
  <w:style w:type="paragraph" w:customStyle="1" w:styleId="TableHeading">
    <w:name w:val="Table Heading"/>
    <w:basedOn w:val="HeadingBase"/>
    <w:rsid w:val="00184D17"/>
    <w:pPr>
      <w:keepLines/>
      <w:pBdr>
        <w:bottom w:val="single" w:sz="6" w:space="1" w:color="918585"/>
      </w:pBdr>
      <w:spacing w:before="240"/>
    </w:pPr>
  </w:style>
  <w:style w:type="character" w:customStyle="1" w:styleId="HotSpot">
    <w:name w:val="HotSpot"/>
    <w:rsid w:val="00184D17"/>
    <w:rPr>
      <w:color w:val="0033CC"/>
      <w:u w:val="none"/>
    </w:rPr>
  </w:style>
  <w:style w:type="paragraph" w:customStyle="1" w:styleId="BodyTextRight">
    <w:name w:val="Body Text Right"/>
    <w:basedOn w:val="BodyText"/>
    <w:rsid w:val="00184D17"/>
    <w:pPr>
      <w:spacing w:before="0" w:after="0"/>
      <w:jc w:val="right"/>
    </w:pPr>
  </w:style>
  <w:style w:type="paragraph" w:styleId="Index3">
    <w:name w:val="index 3"/>
    <w:basedOn w:val="ListNumber2"/>
    <w:next w:val="Normal"/>
    <w:semiHidden/>
    <w:rsid w:val="00184D17"/>
    <w:pPr>
      <w:numPr>
        <w:numId w:val="0"/>
      </w:numPr>
      <w:tabs>
        <w:tab w:val="right" w:leader="dot" w:pos="4176"/>
      </w:tabs>
    </w:pPr>
  </w:style>
  <w:style w:type="paragraph" w:styleId="ListNumber2">
    <w:name w:val="List Number 2"/>
    <w:basedOn w:val="List2"/>
    <w:rsid w:val="00184D17"/>
    <w:pPr>
      <w:numPr>
        <w:numId w:val="9"/>
      </w:numPr>
      <w:tabs>
        <w:tab w:val="clear" w:pos="1060"/>
      </w:tabs>
    </w:pPr>
  </w:style>
  <w:style w:type="paragraph" w:customStyle="1" w:styleId="MarginNote">
    <w:name w:val="Margin Note"/>
    <w:basedOn w:val="BodyText"/>
    <w:rsid w:val="00184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D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D17"/>
    <w:rPr>
      <w:sz w:val="32"/>
    </w:rPr>
  </w:style>
  <w:style w:type="paragraph" w:customStyle="1" w:styleId="HeadingProcedure">
    <w:name w:val="Heading Procedure"/>
    <w:basedOn w:val="HeadingBase"/>
    <w:next w:val="Normal"/>
    <w:rsid w:val="00184D17"/>
    <w:pPr>
      <w:tabs>
        <w:tab w:val="left" w:pos="0"/>
      </w:tabs>
      <w:spacing w:before="120" w:after="60"/>
    </w:pPr>
    <w:rPr>
      <w:i/>
      <w:color w:val="918585"/>
      <w:sz w:val="22"/>
    </w:rPr>
  </w:style>
  <w:style w:type="paragraph" w:customStyle="1" w:styleId="TableBodyText">
    <w:name w:val="Table Body Text"/>
    <w:basedOn w:val="BodyText"/>
    <w:rsid w:val="00184D17"/>
    <w:pPr>
      <w:spacing w:before="60" w:after="60"/>
    </w:pPr>
  </w:style>
  <w:style w:type="paragraph" w:styleId="ListContinue">
    <w:name w:val="List Continue"/>
    <w:basedOn w:val="List"/>
    <w:rsid w:val="00184D17"/>
    <w:pPr>
      <w:ind w:firstLine="0"/>
    </w:pPr>
  </w:style>
  <w:style w:type="paragraph" w:customStyle="1" w:styleId="ListNote">
    <w:name w:val="List Note"/>
    <w:basedOn w:val="List"/>
    <w:rsid w:val="00184D17"/>
    <w:pPr>
      <w:pBdr>
        <w:top w:val="single" w:sz="6" w:space="2" w:color="918585"/>
        <w:bottom w:val="single" w:sz="6" w:space="2" w:color="918585"/>
      </w:pBdr>
      <w:tabs>
        <w:tab w:val="left" w:pos="1021"/>
      </w:tabs>
      <w:ind w:firstLine="0"/>
    </w:pPr>
  </w:style>
  <w:style w:type="paragraph" w:customStyle="1" w:styleId="Warning">
    <w:name w:val="Warning"/>
    <w:basedOn w:val="BodyText"/>
    <w:rsid w:val="00184D17"/>
    <w:pPr>
      <w:shd w:val="clear" w:color="auto" w:fill="D9D9D9"/>
      <w:tabs>
        <w:tab w:val="left" w:pos="992"/>
      </w:tabs>
      <w:ind w:left="119" w:right="119"/>
    </w:pPr>
    <w:rPr>
      <w:sz w:val="20"/>
    </w:rPr>
  </w:style>
  <w:style w:type="paragraph" w:customStyle="1" w:styleId="MarginIcons">
    <w:name w:val="Margin Icons"/>
    <w:basedOn w:val="BodyText"/>
    <w:rsid w:val="00184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D17"/>
    <w:rPr>
      <w:rFonts w:ascii="Courier New" w:hAnsi="Courier New"/>
    </w:rPr>
  </w:style>
  <w:style w:type="paragraph" w:customStyle="1" w:styleId="NoteBullet">
    <w:name w:val="Note Bullet"/>
    <w:basedOn w:val="Note"/>
    <w:rsid w:val="00184D17"/>
    <w:pPr>
      <w:tabs>
        <w:tab w:val="clear" w:pos="680"/>
      </w:tabs>
      <w:spacing w:before="60" w:after="60"/>
    </w:pPr>
  </w:style>
  <w:style w:type="paragraph" w:customStyle="1" w:styleId="SubHeading2">
    <w:name w:val="SubHeading2"/>
    <w:basedOn w:val="HeadingBase"/>
    <w:rsid w:val="00184D17"/>
    <w:pPr>
      <w:spacing w:before="240" w:after="60"/>
    </w:pPr>
    <w:rPr>
      <w:sz w:val="20"/>
    </w:rPr>
  </w:style>
  <w:style w:type="paragraph" w:customStyle="1" w:styleId="SubHeading1">
    <w:name w:val="SubHeading1"/>
    <w:basedOn w:val="HeadingBase"/>
    <w:rsid w:val="00184D17"/>
    <w:pPr>
      <w:spacing w:before="240" w:after="60"/>
    </w:pPr>
    <w:rPr>
      <w:color w:val="918585"/>
      <w:sz w:val="22"/>
    </w:rPr>
  </w:style>
  <w:style w:type="paragraph" w:customStyle="1" w:styleId="SideHeading">
    <w:name w:val="Side Heading"/>
    <w:basedOn w:val="HeadingBase"/>
    <w:rsid w:val="00184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D17"/>
    <w:pPr>
      <w:tabs>
        <w:tab w:val="num" w:pos="360"/>
      </w:tabs>
    </w:pPr>
  </w:style>
  <w:style w:type="paragraph" w:styleId="PlainText">
    <w:name w:val="Plain Text"/>
    <w:basedOn w:val="Normal"/>
    <w:link w:val="PlainTextChar"/>
    <w:rsid w:val="00184D17"/>
    <w:rPr>
      <w:sz w:val="20"/>
    </w:rPr>
  </w:style>
  <w:style w:type="character" w:customStyle="1" w:styleId="PlainTextChar">
    <w:name w:val="Plain Text Char"/>
    <w:basedOn w:val="DefaultParagraphFont"/>
    <w:link w:val="PlainText"/>
    <w:rsid w:val="00184D17"/>
    <w:rPr>
      <w:rFonts w:ascii="Courier New" w:eastAsia="Times New Roman" w:hAnsi="Courier New" w:cs="Times New Roman"/>
      <w:sz w:val="20"/>
      <w:szCs w:val="20"/>
      <w:lang w:eastAsia="en-US"/>
    </w:rPr>
  </w:style>
  <w:style w:type="character" w:customStyle="1" w:styleId="MenuOption">
    <w:name w:val="Menu Option"/>
    <w:basedOn w:val="DefaultParagraphFont"/>
    <w:rsid w:val="00184D17"/>
    <w:rPr>
      <w:b/>
      <w:smallCaps/>
    </w:rPr>
  </w:style>
  <w:style w:type="paragraph" w:customStyle="1" w:styleId="TableListNumber">
    <w:name w:val="Table List Number"/>
    <w:basedOn w:val="ListNumber"/>
    <w:rsid w:val="00184D17"/>
    <w:pPr>
      <w:numPr>
        <w:numId w:val="0"/>
      </w:numPr>
    </w:pPr>
  </w:style>
  <w:style w:type="paragraph" w:styleId="TOC4">
    <w:name w:val="toc 4"/>
    <w:basedOn w:val="TOCBase"/>
    <w:next w:val="Normal"/>
    <w:semiHidden/>
    <w:rsid w:val="00184D17"/>
    <w:pPr>
      <w:tabs>
        <w:tab w:val="right" w:leader="dot" w:pos="9071"/>
      </w:tabs>
      <w:ind w:left="1701"/>
    </w:pPr>
  </w:style>
  <w:style w:type="paragraph" w:customStyle="1" w:styleId="ListAlpha">
    <w:name w:val="List Alpha"/>
    <w:basedOn w:val="List"/>
    <w:rsid w:val="00184D17"/>
    <w:pPr>
      <w:numPr>
        <w:numId w:val="8"/>
      </w:numPr>
    </w:pPr>
  </w:style>
  <w:style w:type="paragraph" w:customStyle="1" w:styleId="ListAlpha2">
    <w:name w:val="List Alpha 2"/>
    <w:basedOn w:val="List2"/>
    <w:rsid w:val="00184D17"/>
    <w:pPr>
      <w:numPr>
        <w:numId w:val="7"/>
      </w:numPr>
    </w:pPr>
  </w:style>
  <w:style w:type="paragraph" w:styleId="List2">
    <w:name w:val="List 2"/>
    <w:basedOn w:val="BodyText"/>
    <w:rsid w:val="00184D17"/>
    <w:pPr>
      <w:tabs>
        <w:tab w:val="left" w:pos="680"/>
      </w:tabs>
      <w:spacing w:before="60" w:after="60"/>
      <w:ind w:left="680" w:hanging="340"/>
    </w:pPr>
  </w:style>
  <w:style w:type="paragraph" w:styleId="List3">
    <w:name w:val="List 3"/>
    <w:basedOn w:val="BodyText"/>
    <w:rsid w:val="00184D17"/>
    <w:pPr>
      <w:tabs>
        <w:tab w:val="left" w:pos="1021"/>
      </w:tabs>
      <w:spacing w:before="60" w:after="60"/>
      <w:ind w:left="1020" w:hanging="340"/>
    </w:pPr>
  </w:style>
  <w:style w:type="paragraph" w:styleId="List4">
    <w:name w:val="List 4"/>
    <w:basedOn w:val="BodyText"/>
    <w:rsid w:val="00184D17"/>
    <w:pPr>
      <w:tabs>
        <w:tab w:val="left" w:pos="1361"/>
      </w:tabs>
      <w:spacing w:before="60" w:after="60"/>
      <w:ind w:left="1361" w:hanging="340"/>
    </w:pPr>
  </w:style>
  <w:style w:type="paragraph" w:styleId="List5">
    <w:name w:val="List 5"/>
    <w:basedOn w:val="BodyText"/>
    <w:rsid w:val="00184D17"/>
    <w:pPr>
      <w:tabs>
        <w:tab w:val="left" w:pos="1701"/>
      </w:tabs>
      <w:spacing w:before="60" w:after="60"/>
      <w:ind w:left="1701" w:hanging="340"/>
    </w:pPr>
  </w:style>
  <w:style w:type="paragraph" w:styleId="ListBullet3">
    <w:name w:val="List Bullet 3"/>
    <w:basedOn w:val="List3"/>
    <w:rsid w:val="00184D17"/>
    <w:pPr>
      <w:numPr>
        <w:numId w:val="14"/>
      </w:numPr>
      <w:tabs>
        <w:tab w:val="clear" w:pos="1021"/>
      </w:tabs>
      <w:ind w:left="1037" w:hanging="357"/>
    </w:pPr>
  </w:style>
  <w:style w:type="paragraph" w:styleId="ListBullet4">
    <w:name w:val="List Bullet 4"/>
    <w:basedOn w:val="List4"/>
    <w:rsid w:val="00184D17"/>
    <w:pPr>
      <w:numPr>
        <w:numId w:val="2"/>
      </w:numPr>
      <w:tabs>
        <w:tab w:val="clear" w:pos="1361"/>
      </w:tabs>
    </w:pPr>
  </w:style>
  <w:style w:type="paragraph" w:styleId="ListBullet5">
    <w:name w:val="List Bullet 5"/>
    <w:basedOn w:val="List5"/>
    <w:rsid w:val="00184D17"/>
    <w:pPr>
      <w:numPr>
        <w:numId w:val="3"/>
      </w:numPr>
    </w:pPr>
  </w:style>
  <w:style w:type="paragraph" w:styleId="ListContinue2">
    <w:name w:val="List Continue 2"/>
    <w:basedOn w:val="List2"/>
    <w:rsid w:val="00184D17"/>
    <w:pPr>
      <w:ind w:firstLine="0"/>
    </w:pPr>
  </w:style>
  <w:style w:type="paragraph" w:styleId="ListContinue3">
    <w:name w:val="List Continue 3"/>
    <w:basedOn w:val="List3"/>
    <w:rsid w:val="00184D17"/>
    <w:pPr>
      <w:ind w:left="1021" w:firstLine="0"/>
    </w:pPr>
  </w:style>
  <w:style w:type="paragraph" w:styleId="ListContinue4">
    <w:name w:val="List Continue 4"/>
    <w:basedOn w:val="List4"/>
    <w:rsid w:val="00184D17"/>
    <w:pPr>
      <w:ind w:firstLine="0"/>
    </w:pPr>
  </w:style>
  <w:style w:type="paragraph" w:styleId="ListContinue5">
    <w:name w:val="List Continue 5"/>
    <w:basedOn w:val="List5"/>
    <w:rsid w:val="00184D17"/>
    <w:pPr>
      <w:ind w:firstLine="0"/>
    </w:pPr>
  </w:style>
  <w:style w:type="paragraph" w:styleId="ListNumber3">
    <w:name w:val="List Number 3"/>
    <w:basedOn w:val="List3"/>
    <w:rsid w:val="00184D17"/>
    <w:pPr>
      <w:numPr>
        <w:numId w:val="4"/>
      </w:numPr>
    </w:pPr>
  </w:style>
  <w:style w:type="paragraph" w:styleId="ListNumber4">
    <w:name w:val="List Number 4"/>
    <w:basedOn w:val="List4"/>
    <w:rsid w:val="00184D17"/>
    <w:pPr>
      <w:numPr>
        <w:numId w:val="5"/>
      </w:numPr>
    </w:pPr>
  </w:style>
  <w:style w:type="paragraph" w:styleId="ListNumber5">
    <w:name w:val="List Number 5"/>
    <w:basedOn w:val="List5"/>
    <w:rsid w:val="00184D17"/>
    <w:pPr>
      <w:numPr>
        <w:numId w:val="6"/>
      </w:numPr>
    </w:pPr>
  </w:style>
  <w:style w:type="paragraph" w:styleId="BlockText">
    <w:name w:val="Block Text"/>
    <w:basedOn w:val="Normal"/>
    <w:rsid w:val="00184D17"/>
    <w:pPr>
      <w:spacing w:after="120"/>
      <w:ind w:left="1440" w:right="1440"/>
    </w:pPr>
  </w:style>
  <w:style w:type="character" w:customStyle="1" w:styleId="Subscript">
    <w:name w:val="Subscript"/>
    <w:basedOn w:val="DefaultParagraphFont"/>
    <w:rsid w:val="00184D17"/>
    <w:rPr>
      <w:sz w:val="16"/>
      <w:vertAlign w:val="subscript"/>
    </w:rPr>
  </w:style>
  <w:style w:type="character" w:customStyle="1" w:styleId="Superscript">
    <w:name w:val="Superscript"/>
    <w:basedOn w:val="DefaultParagraphFont"/>
    <w:rsid w:val="00184D17"/>
    <w:rPr>
      <w:sz w:val="16"/>
      <w:vertAlign w:val="superscript"/>
    </w:rPr>
  </w:style>
  <w:style w:type="character" w:customStyle="1" w:styleId="Symbols">
    <w:name w:val="Symbols"/>
    <w:basedOn w:val="DefaultParagraphFont"/>
    <w:rsid w:val="00184D17"/>
    <w:rPr>
      <w:rFonts w:ascii="Symbol" w:hAnsi="Symbol"/>
    </w:rPr>
  </w:style>
  <w:style w:type="character" w:customStyle="1" w:styleId="MenuOptions">
    <w:name w:val="Menu Options"/>
    <w:basedOn w:val="DefaultParagraphFont"/>
    <w:rsid w:val="00184D17"/>
    <w:rPr>
      <w:rFonts w:ascii="Arial Narrow" w:hAnsi="Arial Narrow"/>
      <w:smallCaps/>
    </w:rPr>
  </w:style>
  <w:style w:type="character" w:customStyle="1" w:styleId="Buttons">
    <w:name w:val="Buttons"/>
    <w:basedOn w:val="DefaultParagraphFont"/>
    <w:rsid w:val="00184D17"/>
    <w:rPr>
      <w:b/>
    </w:rPr>
  </w:style>
  <w:style w:type="character" w:customStyle="1" w:styleId="Underlined">
    <w:name w:val="Underlined"/>
    <w:basedOn w:val="DefaultParagraphFont"/>
    <w:rsid w:val="00184D17"/>
    <w:rPr>
      <w:u w:val="single"/>
    </w:rPr>
  </w:style>
  <w:style w:type="paragraph" w:customStyle="1" w:styleId="TableBodyTextRight">
    <w:name w:val="Table Body Text Right"/>
    <w:basedOn w:val="TableBodyText"/>
    <w:rsid w:val="00184D17"/>
    <w:pPr>
      <w:widowControl w:val="0"/>
      <w:autoSpaceDE w:val="0"/>
      <w:autoSpaceDN w:val="0"/>
      <w:adjustRightInd w:val="0"/>
      <w:jc w:val="right"/>
    </w:pPr>
    <w:rPr>
      <w:rFonts w:cs="Arial"/>
      <w:szCs w:val="18"/>
    </w:rPr>
  </w:style>
  <w:style w:type="paragraph" w:customStyle="1" w:styleId="CopyrightText">
    <w:name w:val="Copyright Text"/>
    <w:basedOn w:val="BodyText"/>
    <w:rsid w:val="00184D17"/>
    <w:rPr>
      <w:sz w:val="18"/>
    </w:rPr>
  </w:style>
  <w:style w:type="paragraph" w:customStyle="1" w:styleId="BodySmallRight">
    <w:name w:val="Body Small Right"/>
    <w:basedOn w:val="BodyTextRight"/>
    <w:rsid w:val="00184D17"/>
    <w:rPr>
      <w:sz w:val="18"/>
      <w:szCs w:val="18"/>
    </w:rPr>
  </w:style>
  <w:style w:type="paragraph" w:customStyle="1" w:styleId="MarginEdition">
    <w:name w:val="Margin Edition"/>
    <w:basedOn w:val="MarginNote"/>
    <w:rsid w:val="00184D17"/>
    <w:pPr>
      <w:spacing w:before="0" w:after="0"/>
    </w:pPr>
    <w:rPr>
      <w:rFonts w:ascii="Times New Roman" w:hAnsi="Times New Roman"/>
      <w:color w:val="999999"/>
    </w:rPr>
  </w:style>
  <w:style w:type="paragraph" w:customStyle="1" w:styleId="Spacer">
    <w:name w:val="Spacer"/>
    <w:basedOn w:val="Normal"/>
    <w:rsid w:val="00184D17"/>
    <w:rPr>
      <w:sz w:val="2"/>
      <w:szCs w:val="2"/>
    </w:rPr>
  </w:style>
  <w:style w:type="character" w:customStyle="1" w:styleId="Small">
    <w:name w:val="Small"/>
    <w:basedOn w:val="DefaultParagraphFont"/>
    <w:rsid w:val="00184D17"/>
    <w:rPr>
      <w:sz w:val="16"/>
    </w:rPr>
  </w:style>
  <w:style w:type="paragraph" w:customStyle="1" w:styleId="WideTable">
    <w:name w:val="Wide Table"/>
    <w:basedOn w:val="Normal"/>
    <w:rsid w:val="00184D17"/>
    <w:pPr>
      <w:ind w:left="-1418"/>
    </w:pPr>
    <w:rPr>
      <w:sz w:val="2"/>
      <w:szCs w:val="2"/>
    </w:rPr>
  </w:style>
  <w:style w:type="character" w:styleId="PageNumber">
    <w:name w:val="page number"/>
    <w:basedOn w:val="DefaultParagraphFont"/>
    <w:rsid w:val="00184D17"/>
  </w:style>
  <w:style w:type="paragraph" w:styleId="Quote">
    <w:name w:val="Quote"/>
    <w:basedOn w:val="Heading1"/>
    <w:link w:val="QuoteChar"/>
    <w:qFormat/>
    <w:rsid w:val="00184D17"/>
    <w:rPr>
      <w:b w:val="0"/>
      <w:sz w:val="72"/>
      <w:szCs w:val="72"/>
      <w:lang w:val="en-NZ"/>
    </w:rPr>
  </w:style>
  <w:style w:type="character" w:customStyle="1" w:styleId="QuoteChar">
    <w:name w:val="Quote Char"/>
    <w:basedOn w:val="DefaultParagraphFont"/>
    <w:link w:val="Quote"/>
    <w:rsid w:val="00184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D17"/>
    <w:pPr>
      <w:pageBreakBefore/>
    </w:pPr>
  </w:style>
  <w:style w:type="paragraph" w:customStyle="1" w:styleId="Border">
    <w:name w:val="Border"/>
    <w:basedOn w:val="Normal"/>
    <w:qFormat/>
    <w:rsid w:val="00184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D17"/>
    <w:rPr>
      <w:b/>
      <w:bCs/>
      <w:i/>
      <w:iCs/>
      <w:color w:val="auto"/>
    </w:rPr>
  </w:style>
  <w:style w:type="paragraph" w:styleId="IntenseQuote">
    <w:name w:val="Intense Quote"/>
    <w:basedOn w:val="Normal"/>
    <w:next w:val="Normal"/>
    <w:link w:val="IntenseQuoteChar"/>
    <w:uiPriority w:val="30"/>
    <w:qFormat/>
    <w:rsid w:val="00184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D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D17"/>
    <w:rPr>
      <w:smallCaps/>
      <w:color w:val="auto"/>
      <w:u w:val="single"/>
    </w:rPr>
  </w:style>
  <w:style w:type="character" w:styleId="IntenseReference">
    <w:name w:val="Intense Reference"/>
    <w:basedOn w:val="DefaultParagraphFont"/>
    <w:uiPriority w:val="32"/>
    <w:qFormat/>
    <w:rsid w:val="00184D17"/>
    <w:rPr>
      <w:b/>
      <w:bCs/>
      <w:smallCaps/>
      <w:color w:val="auto"/>
      <w:spacing w:val="5"/>
      <w:u w:val="single"/>
    </w:rPr>
  </w:style>
  <w:style w:type="paragraph" w:customStyle="1" w:styleId="2ColumnHeading">
    <w:name w:val="2Column Heading"/>
    <w:basedOn w:val="BodyText"/>
    <w:qFormat/>
    <w:rsid w:val="00184D17"/>
    <w:pPr>
      <w:spacing w:after="60"/>
      <w:ind w:left="-2268"/>
    </w:pPr>
    <w:rPr>
      <w:b/>
    </w:rPr>
  </w:style>
  <w:style w:type="paragraph" w:customStyle="1" w:styleId="Heading1TOC">
    <w:name w:val="Heading1 TOC"/>
    <w:basedOn w:val="Normal"/>
    <w:qFormat/>
    <w:rsid w:val="00184D17"/>
    <w:pPr>
      <w:spacing w:before="240" w:after="120"/>
    </w:pPr>
    <w:rPr>
      <w:rFonts w:ascii="Times New Roman" w:hAnsi="Times New Roman"/>
      <w:b/>
      <w:sz w:val="32"/>
    </w:rPr>
  </w:style>
  <w:style w:type="paragraph" w:customStyle="1" w:styleId="Heading2TOC">
    <w:name w:val="Heading2 TOC"/>
    <w:basedOn w:val="Normal"/>
    <w:qFormat/>
    <w:rsid w:val="00184D17"/>
    <w:pPr>
      <w:spacing w:before="240" w:after="60"/>
    </w:pPr>
    <w:rPr>
      <w:rFonts w:ascii="Times New Roman" w:hAnsi="Times New Roman"/>
      <w:b/>
      <w:sz w:val="28"/>
    </w:rPr>
  </w:style>
  <w:style w:type="character" w:customStyle="1" w:styleId="Underline">
    <w:name w:val="Underline"/>
    <w:basedOn w:val="DefaultParagraphFont"/>
    <w:qFormat/>
    <w:rsid w:val="00184D17"/>
    <w:rPr>
      <w:u w:val="single"/>
    </w:rPr>
  </w:style>
  <w:style w:type="character" w:customStyle="1" w:styleId="BoldandItalics">
    <w:name w:val="Bold and Italics"/>
    <w:qFormat/>
    <w:rsid w:val="00184D17"/>
    <w:rPr>
      <w:b/>
      <w:i/>
      <w:u w:val="none"/>
    </w:rPr>
  </w:style>
  <w:style w:type="paragraph" w:styleId="BalloonText">
    <w:name w:val="Balloon Text"/>
    <w:basedOn w:val="Normal"/>
    <w:link w:val="BalloonTextChar"/>
    <w:rsid w:val="00184D17"/>
    <w:rPr>
      <w:rFonts w:ascii="Tahoma" w:hAnsi="Tahoma" w:cs="Tahoma"/>
      <w:sz w:val="16"/>
      <w:szCs w:val="16"/>
    </w:rPr>
  </w:style>
  <w:style w:type="character" w:customStyle="1" w:styleId="BalloonTextChar">
    <w:name w:val="Balloon Text Char"/>
    <w:basedOn w:val="DefaultParagraphFont"/>
    <w:link w:val="BalloonText"/>
    <w:rsid w:val="00184D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D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4D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D17"/>
    <w:rPr>
      <w:b/>
      <w:color w:val="660033"/>
      <w:spacing w:val="0"/>
    </w:rPr>
  </w:style>
  <w:style w:type="paragraph" w:customStyle="1" w:styleId="Nameditemlist">
    <w:name w:val="Named item list"/>
    <w:basedOn w:val="BodyText"/>
    <w:qFormat/>
    <w:rsid w:val="00184D17"/>
    <w:pPr>
      <w:tabs>
        <w:tab w:val="left" w:pos="2835"/>
      </w:tabs>
      <w:ind w:left="2835" w:hanging="2835"/>
    </w:pPr>
  </w:style>
  <w:style w:type="paragraph" w:customStyle="1" w:styleId="BodyTextnopadding">
    <w:name w:val="Body Text no padding"/>
    <w:basedOn w:val="BodyText"/>
    <w:qFormat/>
    <w:rsid w:val="00184D1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4575</Characters>
  <Application>Microsoft Office Word</Application>
  <DocSecurity>0</DocSecurity>
  <Lines>209</Lines>
  <Paragraphs>113</Paragraphs>
  <ScaleCrop>false</ScaleCrop>
  <Company>Author-it Software Corporation Ltd.</Company>
  <LinksUpToDate>false</LinksUpToDate>
  <CharactersWithSpaces>5239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MSFFL3022 Mix and apply epoxy and seamless floor coverings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2018-12-03T08:39:00Z</dcterms:created>
  <dcterms:modified xsi:type="dcterms:W3CDTF">2018-12-03T08:39:00Z</dcterms:modified>
</cp:coreProperties>
</file>