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EA2" w:rsidP="003C0EA2">
      <w:pPr>
        <w:pStyle w:val="Title"/>
      </w:pPr>
      <w:r>
        <w:fldChar w:fldCharType="begin"/>
      </w:r>
      <w:r>
        <w:instrText xml:space="preserve"> TITLE   \* MERGEFORMAT </w:instrText>
      </w:r>
      <w:r>
        <w:fldChar w:fldCharType="separate"/>
      </w:r>
      <w:r>
        <w:t>MSFFL3014 Install resilient floor coverings using custom designs and decorative finishes</w:t>
      </w:r>
      <w:r>
        <w:fldChar w:fldCharType="end"/>
      </w:r>
    </w:p>
    <w:p w:rsidR="003C0EA2" w:rsidP="003C0EA2">
      <w:pPr>
        <w:pStyle w:val="Version"/>
        <w:sectPr w:rsidSect="00821A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1A71" w:rsidP="00821A71">
      <w:pPr>
        <w:pStyle w:val="SuperHeading"/>
      </w:pPr>
      <w:r w:rsidRPr="00821A71">
        <w:t>MSFFL3014 Install resilient floor coverings using custom designs and decorative finishes</w:t>
      </w:r>
    </w:p>
    <w:p w:rsidR="00000000" w:rsidRPr="00821A71" w:rsidP="00821A71">
      <w:pPr>
        <w:pStyle w:val="Heading1"/>
      </w:pPr>
      <w:bookmarkStart w:id="1" w:name="O_635928"/>
      <w:bookmarkEnd w:id="1"/>
      <w:r w:rsidRPr="00821A71">
        <w:t>Modification History</w:t>
      </w:r>
    </w:p>
    <w:p w:rsidR="00000000" w:rsidRPr="00821A71" w:rsidP="00821A71">
      <w:pPr>
        <w:pStyle w:val="BodyText"/>
      </w:pPr>
      <w:r w:rsidRPr="00821A71">
        <w:t>Release 1 - New unit of competency</w:t>
      </w:r>
    </w:p>
    <w:p w:rsidR="00000000" w:rsidRPr="00821A71" w:rsidP="00821A71">
      <w:pPr>
        <w:pStyle w:val="AllowPageBreak"/>
      </w:pPr>
    </w:p>
    <w:p w:rsidR="00000000" w:rsidRPr="00821A71" w:rsidP="00821A71">
      <w:pPr>
        <w:pStyle w:val="Heading1"/>
      </w:pPr>
      <w:bookmarkStart w:id="2" w:name="O_635936"/>
      <w:bookmarkEnd w:id="2"/>
      <w:r w:rsidRPr="00821A71">
        <w:t>Application</w:t>
      </w:r>
    </w:p>
    <w:p w:rsidR="00000000" w:rsidRPr="00821A71" w:rsidP="00821A71">
      <w:pPr>
        <w:pStyle w:val="BodyText"/>
      </w:pPr>
      <w:r w:rsidRPr="00821A71">
        <w:t>This unit of c</w:t>
      </w:r>
      <w:r w:rsidRPr="00821A71">
        <w:t>ompetency covers installing resilient sheet floor coverings using custom designs, mechanically and hand cut motifs, logos and decorative finishes.</w:t>
      </w:r>
    </w:p>
    <w:p w:rsidR="00000000" w:rsidRPr="00821A71" w:rsidP="00821A71">
      <w:pPr>
        <w:pStyle w:val="BodyText"/>
      </w:pPr>
    </w:p>
    <w:p w:rsidR="00000000" w:rsidRPr="00821A71" w:rsidP="00821A71">
      <w:pPr>
        <w:pStyle w:val="BodyText"/>
      </w:pPr>
      <w:r w:rsidRPr="00821A71">
        <w:t>Licensing, legislative or certification requirements may apply to this unit and relevant state/territory and</w:t>
      </w:r>
      <w:r w:rsidRPr="00821A71">
        <w:t xml:space="preserve"> local government agencies should be consulted to determine any necessary certification or licensing for undertaking flooring work. Access to construction sites requires certification of general induction training specified by the National Code of Practice</w:t>
      </w:r>
      <w:r w:rsidRPr="00821A71">
        <w:t xml:space="preserve"> for Induction for Construction Work (ASCC 2007).</w:t>
      </w:r>
    </w:p>
    <w:p w:rsidR="00000000" w:rsidRPr="00821A71" w:rsidP="00821A71">
      <w:pPr>
        <w:pStyle w:val="AllowPageBreak"/>
      </w:pPr>
    </w:p>
    <w:p w:rsidR="00000000" w:rsidRPr="00821A71" w:rsidP="00821A71">
      <w:pPr>
        <w:pStyle w:val="Heading1"/>
      </w:pPr>
      <w:bookmarkStart w:id="3" w:name="O_635935"/>
      <w:bookmarkEnd w:id="3"/>
      <w:r w:rsidRPr="00821A71">
        <w:t>Pre-requisite Unit</w:t>
      </w:r>
    </w:p>
    <w:p w:rsidR="00000000" w:rsidRPr="00821A71" w:rsidP="00821A71">
      <w:pPr>
        <w:pStyle w:val="Heading1"/>
      </w:pPr>
      <w:bookmarkStart w:id="4" w:name="O_635934"/>
      <w:bookmarkEnd w:id="4"/>
      <w:r w:rsidRPr="00821A71">
        <w:t>Competency Field</w:t>
      </w:r>
    </w:p>
    <w:p w:rsidR="00000000" w:rsidRPr="00821A71" w:rsidP="00821A71">
      <w:pPr>
        <w:pStyle w:val="Heading1"/>
      </w:pPr>
      <w:bookmarkStart w:id="5" w:name="O_635933"/>
      <w:bookmarkEnd w:id="5"/>
      <w:r w:rsidRPr="00821A71">
        <w:t>Unit Sector</w:t>
      </w:r>
    </w:p>
    <w:p w:rsidR="00000000" w:rsidRPr="00821A71" w:rsidP="00821A71">
      <w:pPr>
        <w:pStyle w:val="BodyText"/>
      </w:pPr>
      <w:r w:rsidRPr="00821A71">
        <w:t>Flooring technology</w:t>
      </w:r>
    </w:p>
    <w:p w:rsidR="00000000" w:rsidRPr="00821A71" w:rsidP="00821A71">
      <w:pPr>
        <w:pStyle w:val="AllowPageBreak"/>
      </w:pPr>
    </w:p>
    <w:p w:rsidR="00000000" w:rsidRPr="00821A71" w:rsidP="00821A71">
      <w:pPr>
        <w:pStyle w:val="Heading1"/>
      </w:pPr>
      <w:bookmarkStart w:id="6" w:name="O_635932"/>
      <w:bookmarkEnd w:id="6"/>
      <w:r w:rsidRPr="00821A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1A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Elements describe the essential outcom</w:t>
            </w:r>
            <w:r w:rsidRPr="00821A71">
              <w:t>es.</w:t>
            </w:r>
          </w:p>
        </w:tc>
        <w:tc>
          <w:tcPr>
            <w:tcW w:w="6380" w:type="dxa"/>
            <w:gridSpan w:val="2"/>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Performance criteria describe the performance needed to demonstrate achievement of the element.</w:t>
            </w:r>
          </w:p>
        </w:tc>
      </w:tr>
      <w:tr w:rsidTr="00821A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1</w:t>
            </w:r>
          </w:p>
        </w:tc>
        <w:tc>
          <w:tcPr>
            <w:tcW w:w="1962"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Prepare for installation</w:t>
            </w: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1.1</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Applicable work health and safety (WHS), legislative and organisational requirements relevant to installing resilient floor coverings using custom designs and decorative finishes are verified and complied with</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1.2</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 xml:space="preserve">Instructions and/or plans are read and </w:t>
            </w:r>
            <w:r w:rsidRPr="00821A71">
              <w:t>interpreted to identify process required to complete work tasks</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1.3</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Sub-floor condition is assessed for suitability for installation of resilient floor coverings</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1.4</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Suitable adhesives, trims and accessories are selected</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1.5</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Tools, equipment and materials are selected and checked prior to use to ensure that they are appropriate for the work, serviceable and in a safe condition</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1.6</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Sequence of work is planned, including the starting point, to ensure efficiency and quality of</w:t>
            </w:r>
            <w:r w:rsidRPr="00821A71">
              <w:t xml:space="preserve"> installation</w:t>
            </w:r>
          </w:p>
        </w:tc>
      </w:tr>
      <w:tr w:rsidTr="00821A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2</w:t>
            </w:r>
          </w:p>
        </w:tc>
        <w:tc>
          <w:tcPr>
            <w:tcW w:w="1962"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Set out materials</w:t>
            </w: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2.1</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Resilient floor coverings to be installed are checked against work order</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2.2</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Resilient floor coverings are acclimatised according to manufacturer recommendations</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2.3</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Resilient floor coverings for fixing are organised and used in accordance with relevant safety management requirements</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2.4</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Working lines and starting point are established and marked on the sub-floor</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2.5</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Motifs, logos or custom designs are set out and marked on the sub-floor</w:t>
            </w:r>
          </w:p>
        </w:tc>
      </w:tr>
      <w:tr w:rsidTr="00821A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w:t>
            </w:r>
          </w:p>
        </w:tc>
        <w:tc>
          <w:tcPr>
            <w:tcW w:w="1962"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Lay resilient floor covering</w:t>
            </w: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3.1</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Instructions and sequence for laying and fixing is followed</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3.2</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Resilient floor coverings are laid out to meet directional sequence, pattern match and specification requirements, and to minimise waste and joins as appropriate</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3.3</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Resilient flooring materials are accurately and clearly marked for cutting</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3.4</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Resil</w:t>
            </w:r>
            <w:r w:rsidRPr="00821A71">
              <w:t>ient floor coverings are cut to required shape ensuring minimum waste</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3.5</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Materials for fixing are organised and used in accordance with relevant safety management requirements</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3.6</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Adhesives and edge strips/accessories are prepared for use as required</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3.7</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Welding and fixing methods and equipment are used following manufacturer instructions</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3.8</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Finished job is inspected and any imperfections are rectified following workplace pro</w:t>
            </w:r>
            <w:r w:rsidRPr="00821A71">
              <w:t>cedures</w:t>
            </w:r>
          </w:p>
        </w:tc>
      </w:tr>
      <w:tr w:rsidTr="00821A7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4</w:t>
            </w:r>
          </w:p>
        </w:tc>
        <w:tc>
          <w:tcPr>
            <w:tcW w:w="1962" w:type="dxa"/>
            <w:vMerge w:val="restart"/>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Complete housekeeping</w:t>
            </w: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4.1</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Unused materials are stored or recycled as required</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4.2</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Tools and equipment are cleaned and stored appropriately</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4.3</w:t>
            </w:r>
          </w:p>
        </w:tc>
        <w:tc>
          <w:tcPr>
            <w:tcW w:w="561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Work area is cleaned and rubbish disposed of appropriately</w:t>
            </w:r>
          </w:p>
        </w:tc>
      </w:tr>
      <w:tr w:rsidTr="00821A7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4.4</w:t>
            </w:r>
          </w:p>
        </w:tc>
        <w:tc>
          <w:tcPr>
            <w:tcW w:w="5610" w:type="dxa"/>
            <w:tcBorders>
              <w:top w:val="nil"/>
              <w:left w:val="nil"/>
              <w:bottom w:val="nil"/>
              <w:right w:val="nil"/>
            </w:tcBorders>
            <w:tcMar>
              <w:top w:w="0" w:type="dxa"/>
              <w:left w:w="62" w:type="dxa"/>
              <w:bottom w:w="0" w:type="dxa"/>
              <w:right w:w="62" w:type="dxa"/>
            </w:tcMar>
          </w:tcPr>
          <w:p w:rsidR="00000000" w:rsidRPr="00821A71" w:rsidP="00821A71">
            <w:pPr>
              <w:pStyle w:val="BodyText"/>
            </w:pPr>
            <w:r w:rsidRPr="00821A71">
              <w:t>Workplace documentation is completed</w:t>
            </w:r>
          </w:p>
        </w:tc>
      </w:tr>
    </w:tbl>
    <w:p w:rsidR="00000000" w:rsidRPr="00821A71" w:rsidP="00821A71">
      <w:pPr>
        <w:pStyle w:val="BodyText"/>
      </w:pPr>
    </w:p>
    <w:p w:rsidR="00000000" w:rsidRPr="00821A71" w:rsidP="00821A71">
      <w:pPr>
        <w:pStyle w:val="AllowPageBreak"/>
      </w:pPr>
    </w:p>
    <w:p w:rsidR="00000000" w:rsidRPr="00821A71" w:rsidP="00821A71">
      <w:pPr>
        <w:pStyle w:val="Heading1"/>
      </w:pPr>
      <w:bookmarkStart w:id="7" w:name="O_635931"/>
      <w:bookmarkEnd w:id="7"/>
      <w:r w:rsidRPr="00821A71">
        <w:t>Foundation Skills</w:t>
      </w:r>
    </w:p>
    <w:p w:rsidR="003C0EA2" w:rsidP="00821A71">
      <w:pPr>
        <w:pStyle w:val="BodyText"/>
      </w:pPr>
      <w:r w:rsidRPr="00821A71">
        <w:t xml:space="preserve">Foundation skills essential to performance are explicit in the performance criteria of this unit of competency. Detail on appropriate performance </w:t>
      </w:r>
      <w:r w:rsidRPr="00821A71">
        <w:t xml:space="preserve">levels for each furnishing unit of competency in reading, writing, oral communication and numeracy utilising the Australian Core Skills Framework (ACSF) are provided in the Furnishing Training Package Implementation Guide. </w:t>
      </w:r>
    </w:p>
    <w:p w:rsidR="003C0EA2" w:rsidP="00821A71">
      <w:pPr>
        <w:pStyle w:val="BodyText"/>
      </w:pPr>
    </w:p>
    <w:p w:rsidR="00000000" w:rsidRPr="00821A71" w:rsidP="00821A71">
      <w:pPr>
        <w:pStyle w:val="Heading1"/>
      </w:pPr>
      <w:bookmarkStart w:id="8" w:name="O_635930"/>
      <w:bookmarkEnd w:id="8"/>
      <w:r w:rsidRPr="00821A71">
        <w:t>Range of Condi</w:t>
      </w:r>
      <w:r w:rsidRPr="00821A71">
        <w:t>tions</w:t>
      </w:r>
    </w:p>
    <w:tbl>
      <w:tblPr>
        <w:tblW w:w="0" w:type="auto"/>
        <w:tblLayout w:type="fixed"/>
        <w:tblCellMar>
          <w:left w:w="62" w:type="dxa"/>
          <w:right w:w="62" w:type="dxa"/>
        </w:tblCellMar>
        <w:tblLook w:val="0000"/>
      </w:tblPr>
      <w:tblGrid>
        <w:gridCol w:w="2760"/>
        <w:gridCol w:w="6312"/>
      </w:tblGrid>
      <w:tr w:rsidTr="00821A7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t xml:space="preserve">Specifies different work environments and conditions that may affect performance. Essential operating conditions that may be present (depending on the work situation, needs of the candidate, accessibility of the item, and local industry and regional </w:t>
            </w:r>
            <w:r w:rsidRPr="00821A71">
              <w:t>contexts) are included. Range is restricted to essential operating conditions and any other variables essential to the work environment.</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21A71" w:rsidP="00821A71">
            <w:pPr>
              <w:pStyle w:val="ListBullet"/>
            </w:pPr>
            <w:r w:rsidRPr="00821A71">
              <w:t xml:space="preserve">WHS requirements, including legislation, building codes, material safety management systems, </w:t>
            </w:r>
            <w:r w:rsidRPr="00821A71">
              <w:t xml:space="preserve">hazardous and dangerous goods codes, and local safe operating procedures or equivalent </w:t>
            </w:r>
          </w:p>
          <w:p w:rsidR="00000000" w:rsidRPr="00821A71" w:rsidP="00821A71">
            <w:pPr>
              <w:pStyle w:val="ListBullet"/>
            </w:pPr>
            <w:r w:rsidRPr="00821A71">
              <w:t>work is carried out in accordance with legi</w:t>
            </w:r>
            <w:r w:rsidRPr="00821A71">
              <w:t xml:space="preserve">slative obligations, environmental legislation, relevant health regulations, manual handling procedures and organisation insurance requirements </w:t>
            </w:r>
          </w:p>
          <w:p w:rsidR="00000000" w:rsidP="00821A71">
            <w:pPr>
              <w:pStyle w:val="ListBullet"/>
              <w:rPr>
                <w:lang w:val="en-NZ"/>
              </w:rPr>
            </w:pPr>
            <w:r w:rsidRPr="00821A71">
              <w:t xml:space="preserve">work requires individuals to demonstrate some discretion, judgement and problem solving </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rPr>
                <w:rStyle w:val="SpecialBold"/>
              </w:rPr>
              <w:t>Resilient floor cover</w:t>
            </w:r>
            <w:r w:rsidRPr="00821A71">
              <w:rPr>
                <w:rStyle w:val="SpecialBold"/>
              </w:rPr>
              <w:t>ings include:</w:t>
            </w:r>
          </w:p>
        </w:tc>
        <w:tc>
          <w:tcPr>
            <w:tcW w:w="6312" w:type="dxa"/>
            <w:tcBorders>
              <w:top w:val="nil"/>
              <w:left w:val="nil"/>
              <w:bottom w:val="nil"/>
              <w:right w:val="nil"/>
            </w:tcBorders>
            <w:tcMar>
              <w:top w:w="0" w:type="dxa"/>
              <w:left w:w="62" w:type="dxa"/>
              <w:bottom w:w="0" w:type="dxa"/>
              <w:right w:w="62" w:type="dxa"/>
            </w:tcMar>
          </w:tcPr>
          <w:p w:rsidR="00000000" w:rsidRPr="00821A71" w:rsidP="00821A71">
            <w:pPr>
              <w:pStyle w:val="ListBullet"/>
            </w:pPr>
            <w:r w:rsidRPr="00821A71">
              <w:t>homogenous/heterogeneous</w:t>
            </w:r>
          </w:p>
          <w:p w:rsidR="00000000" w:rsidRPr="00821A71" w:rsidP="00821A71">
            <w:pPr>
              <w:pStyle w:val="ListBullet"/>
            </w:pPr>
            <w:r w:rsidRPr="00821A71">
              <w:t>linoleum sheet</w:t>
            </w:r>
          </w:p>
          <w:p w:rsidR="00000000" w:rsidRPr="00821A71" w:rsidP="00821A71">
            <w:pPr>
              <w:pStyle w:val="ListBullet"/>
            </w:pPr>
            <w:r w:rsidRPr="00821A71">
              <w:t>encapsulated glass fibre</w:t>
            </w:r>
          </w:p>
          <w:p w:rsidR="00000000" w:rsidRPr="00821A71" w:rsidP="00821A71">
            <w:pPr>
              <w:pStyle w:val="ListBullet"/>
            </w:pPr>
            <w:r w:rsidRPr="00821A71">
              <w:t>inlaid</w:t>
            </w:r>
          </w:p>
          <w:p w:rsidR="00000000" w:rsidP="00821A71">
            <w:pPr>
              <w:pStyle w:val="ListBullet"/>
              <w:rPr>
                <w:lang w:val="en-NZ"/>
              </w:rPr>
            </w:pPr>
            <w:r w:rsidRPr="00821A71">
              <w:t>rotogravure</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rPr>
                <w:rStyle w:val="SpecialBold"/>
              </w:rPr>
              <w:t>Adhesives include:</w:t>
            </w:r>
          </w:p>
        </w:tc>
        <w:tc>
          <w:tcPr>
            <w:tcW w:w="6312" w:type="dxa"/>
            <w:tcBorders>
              <w:top w:val="nil"/>
              <w:left w:val="nil"/>
              <w:bottom w:val="nil"/>
              <w:right w:val="nil"/>
            </w:tcBorders>
            <w:tcMar>
              <w:top w:w="0" w:type="dxa"/>
              <w:left w:w="62" w:type="dxa"/>
              <w:bottom w:w="0" w:type="dxa"/>
              <w:right w:w="62" w:type="dxa"/>
            </w:tcMar>
          </w:tcPr>
          <w:p w:rsidR="00000000" w:rsidRPr="00821A71" w:rsidP="00821A71">
            <w:pPr>
              <w:pStyle w:val="ListBullet"/>
            </w:pPr>
            <w:r w:rsidRPr="00821A71">
              <w:t xml:space="preserve">plasticised and rubber resign acrylic </w:t>
            </w:r>
          </w:p>
          <w:p w:rsidR="00000000" w:rsidRPr="00821A71" w:rsidP="00821A71">
            <w:pPr>
              <w:pStyle w:val="ListBullet"/>
            </w:pPr>
            <w:r w:rsidRPr="00821A71">
              <w:t>two-part epoxy</w:t>
            </w:r>
          </w:p>
          <w:p w:rsidR="00000000" w:rsidP="00821A71">
            <w:pPr>
              <w:pStyle w:val="ListBullet"/>
              <w:rPr>
                <w:lang w:val="en-NZ"/>
              </w:rPr>
            </w:pPr>
            <w:r w:rsidRPr="00821A71">
              <w:t>poly-methane, water-based and solvent-based contact adhesive</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21A71" w:rsidP="00821A71">
            <w:pPr>
              <w:pStyle w:val="ListBullet"/>
            </w:pPr>
            <w:r w:rsidRPr="00821A71">
              <w:t xml:space="preserve">utility knife with hook </w:t>
            </w:r>
          </w:p>
          <w:p w:rsidR="00000000" w:rsidRPr="00821A71" w:rsidP="00821A71">
            <w:pPr>
              <w:pStyle w:val="ListBullet"/>
            </w:pPr>
            <w:r w:rsidRPr="00821A71">
              <w:t xml:space="preserve">straight and concave blades </w:t>
            </w:r>
          </w:p>
          <w:p w:rsidR="00000000" w:rsidRPr="00821A71" w:rsidP="00821A71">
            <w:pPr>
              <w:pStyle w:val="ListBullet"/>
            </w:pPr>
            <w:r w:rsidRPr="00821A71">
              <w:t xml:space="preserve">straight edge </w:t>
            </w:r>
          </w:p>
          <w:p w:rsidR="00000000" w:rsidRPr="00821A71" w:rsidP="00821A71">
            <w:pPr>
              <w:pStyle w:val="ListBullet"/>
            </w:pPr>
            <w:r w:rsidRPr="00821A71">
              <w:t xml:space="preserve">square </w:t>
            </w:r>
          </w:p>
          <w:p w:rsidR="00000000" w:rsidRPr="00821A71" w:rsidP="00821A71">
            <w:pPr>
              <w:pStyle w:val="ListBullet"/>
            </w:pPr>
            <w:r w:rsidRPr="00821A71">
              <w:t xml:space="preserve">chalk and chalk-line </w:t>
            </w:r>
          </w:p>
          <w:p w:rsidR="00000000" w:rsidRPr="00821A71" w:rsidP="00821A71">
            <w:pPr>
              <w:pStyle w:val="ListBullet"/>
            </w:pPr>
            <w:r w:rsidRPr="00821A71">
              <w:t xml:space="preserve">tape measure </w:t>
            </w:r>
          </w:p>
          <w:p w:rsidR="00000000" w:rsidRPr="00821A71" w:rsidP="00821A71">
            <w:pPr>
              <w:pStyle w:val="ListBullet"/>
            </w:pPr>
            <w:r w:rsidRPr="00821A71">
              <w:t xml:space="preserve">hacksaw </w:t>
            </w:r>
          </w:p>
          <w:p w:rsidR="00000000" w:rsidRPr="00821A71" w:rsidP="00821A71">
            <w:pPr>
              <w:pStyle w:val="ListBullet"/>
            </w:pPr>
            <w:r w:rsidRPr="00821A71">
              <w:t xml:space="preserve">notched trowel </w:t>
            </w:r>
          </w:p>
          <w:p w:rsidR="00000000" w:rsidRPr="00821A71" w:rsidP="00821A71">
            <w:pPr>
              <w:pStyle w:val="ListBullet"/>
            </w:pPr>
            <w:r w:rsidRPr="00821A71">
              <w:t xml:space="preserve">hammer </w:t>
            </w:r>
          </w:p>
          <w:p w:rsidR="00000000" w:rsidRPr="00821A71" w:rsidP="00821A71">
            <w:pPr>
              <w:pStyle w:val="ListBullet"/>
            </w:pPr>
            <w:r w:rsidRPr="00821A71">
              <w:t xml:space="preserve">seam and edge trimmer </w:t>
            </w:r>
          </w:p>
          <w:p w:rsidR="00000000" w:rsidRPr="00821A71" w:rsidP="00821A71">
            <w:pPr>
              <w:pStyle w:val="ListBullet"/>
            </w:pPr>
            <w:r w:rsidRPr="00821A71">
              <w:t xml:space="preserve">recess scriber and pre-formed linoleum recess scribers </w:t>
            </w:r>
          </w:p>
          <w:p w:rsidR="00000000" w:rsidRPr="00821A71" w:rsidP="00821A71">
            <w:pPr>
              <w:pStyle w:val="ListBullet"/>
            </w:pPr>
            <w:r w:rsidRPr="00821A71">
              <w:t>s</w:t>
            </w:r>
            <w:r w:rsidRPr="00821A71">
              <w:t xml:space="preserve">cribing bar </w:t>
            </w:r>
          </w:p>
          <w:p w:rsidR="00000000" w:rsidRPr="00821A71" w:rsidP="00821A71">
            <w:pPr>
              <w:pStyle w:val="ListBullet"/>
            </w:pPr>
            <w:r w:rsidRPr="00821A71">
              <w:t xml:space="preserve">welding gun and accessories </w:t>
            </w:r>
          </w:p>
          <w:p w:rsidR="00000000" w:rsidRPr="00821A71" w:rsidP="00821A71">
            <w:pPr>
              <w:pStyle w:val="ListBullet"/>
            </w:pPr>
            <w:r w:rsidRPr="00821A71">
              <w:t xml:space="preserve">hot air gun </w:t>
            </w:r>
          </w:p>
          <w:p w:rsidR="00000000" w:rsidRPr="00821A71" w:rsidP="00821A71">
            <w:pPr>
              <w:pStyle w:val="ListBullet"/>
            </w:pPr>
            <w:r w:rsidRPr="00821A71">
              <w:t xml:space="preserve">grooving tool </w:t>
            </w:r>
          </w:p>
          <w:p w:rsidR="00000000" w:rsidRPr="00821A71" w:rsidP="00821A71">
            <w:pPr>
              <w:pStyle w:val="ListBullet"/>
            </w:pPr>
            <w:r w:rsidRPr="00821A71">
              <w:t xml:space="preserve">divider </w:t>
            </w:r>
          </w:p>
          <w:p w:rsidR="00000000" w:rsidRPr="00821A71" w:rsidP="00821A71">
            <w:pPr>
              <w:pStyle w:val="ListBullet"/>
            </w:pPr>
            <w:r w:rsidRPr="00821A71">
              <w:t xml:space="preserve">cove roller </w:t>
            </w:r>
          </w:p>
          <w:p w:rsidR="00000000" w:rsidRPr="00821A71" w:rsidP="00821A71">
            <w:pPr>
              <w:pStyle w:val="ListBullet"/>
            </w:pPr>
            <w:r w:rsidRPr="00821A71">
              <w:t xml:space="preserve">hand roller </w:t>
            </w:r>
          </w:p>
          <w:p w:rsidR="00000000" w:rsidRPr="00821A71" w:rsidP="00821A71">
            <w:pPr>
              <w:pStyle w:val="ListBullet"/>
            </w:pPr>
            <w:r w:rsidRPr="00821A71">
              <w:t xml:space="preserve">cove gauging tool roller </w:t>
            </w:r>
          </w:p>
          <w:p w:rsidR="00000000" w:rsidRPr="00821A71" w:rsidP="00821A71">
            <w:pPr>
              <w:pStyle w:val="ListBullet"/>
            </w:pPr>
            <w:r w:rsidRPr="00821A71">
              <w:t xml:space="preserve">gas bottle and gun </w:t>
            </w:r>
          </w:p>
          <w:p w:rsidR="00000000" w:rsidRPr="00821A71" w:rsidP="00821A71">
            <w:pPr>
              <w:pStyle w:val="ListBullet"/>
            </w:pPr>
            <w:r w:rsidRPr="00821A71">
              <w:t xml:space="preserve">rubber mallet </w:t>
            </w:r>
          </w:p>
          <w:p w:rsidR="00000000" w:rsidRPr="00821A71" w:rsidP="00821A71">
            <w:pPr>
              <w:pStyle w:val="ListBullet"/>
            </w:pPr>
            <w:r w:rsidRPr="00821A71">
              <w:t xml:space="preserve">paint brush and bucket </w:t>
            </w:r>
          </w:p>
          <w:p w:rsidR="00000000" w:rsidRPr="00821A71" w:rsidP="00821A71">
            <w:pPr>
              <w:pStyle w:val="ListBullet"/>
            </w:pPr>
            <w:r w:rsidRPr="00821A71">
              <w:t xml:space="preserve">spatula knife </w:t>
            </w:r>
          </w:p>
          <w:p w:rsidR="00000000" w:rsidRPr="00821A71" w:rsidP="00821A71">
            <w:pPr>
              <w:pStyle w:val="ListBullet"/>
            </w:pPr>
            <w:r w:rsidRPr="00821A71">
              <w:t xml:space="preserve">builders pencil </w:t>
            </w:r>
          </w:p>
          <w:p w:rsidR="00000000" w:rsidRPr="00821A71" w:rsidP="00821A71">
            <w:pPr>
              <w:pStyle w:val="ListBullet"/>
            </w:pPr>
            <w:r w:rsidRPr="00821A71">
              <w:t xml:space="preserve">contact bucket </w:t>
            </w:r>
          </w:p>
          <w:p w:rsidR="00000000" w:rsidP="00821A71">
            <w:pPr>
              <w:pStyle w:val="ListBullet"/>
              <w:rPr>
                <w:lang w:val="en-NZ"/>
              </w:rPr>
            </w:pPr>
            <w:r w:rsidRPr="00821A71">
              <w:t>linoleum trolley</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21A71" w:rsidP="00821A71">
            <w:pPr>
              <w:pStyle w:val="ListBullet"/>
            </w:pPr>
            <w:r w:rsidRPr="00821A71">
              <w:t>resilient sheet flooring</w:t>
            </w:r>
          </w:p>
          <w:p w:rsidR="00000000" w:rsidRPr="00821A71" w:rsidP="00821A71">
            <w:pPr>
              <w:pStyle w:val="ListBullet"/>
            </w:pPr>
            <w:r w:rsidRPr="00821A71">
              <w:t xml:space="preserve">skirting </w:t>
            </w:r>
          </w:p>
          <w:p w:rsidR="00000000" w:rsidRPr="00821A71" w:rsidP="00821A71">
            <w:pPr>
              <w:pStyle w:val="ListBullet"/>
            </w:pPr>
            <w:r w:rsidRPr="00821A71">
              <w:t xml:space="preserve">reducing and edge strips </w:t>
            </w:r>
          </w:p>
          <w:p w:rsidR="00000000" w:rsidRPr="00821A71" w:rsidP="00821A71">
            <w:pPr>
              <w:pStyle w:val="ListBullet"/>
            </w:pPr>
            <w:r w:rsidRPr="00821A71">
              <w:t xml:space="preserve">welding rod </w:t>
            </w:r>
          </w:p>
          <w:p w:rsidR="00000000" w:rsidRPr="00821A71" w:rsidP="00821A71">
            <w:pPr>
              <w:pStyle w:val="ListBullet"/>
            </w:pPr>
            <w:r w:rsidRPr="00821A71">
              <w:t xml:space="preserve">coving accessories </w:t>
            </w:r>
          </w:p>
          <w:p w:rsidR="00000000" w:rsidRPr="00821A71" w:rsidP="00821A71">
            <w:pPr>
              <w:pStyle w:val="ListBullet"/>
            </w:pPr>
            <w:r w:rsidRPr="00821A71">
              <w:t>tapes</w:t>
            </w:r>
          </w:p>
          <w:p w:rsidR="00000000" w:rsidRPr="00821A71" w:rsidP="00821A71">
            <w:pPr>
              <w:pStyle w:val="ListBullet"/>
            </w:pPr>
            <w:r w:rsidRPr="00821A71">
              <w:t xml:space="preserve">pattern paper </w:t>
            </w:r>
          </w:p>
          <w:p w:rsidR="00000000" w:rsidP="00821A71">
            <w:pPr>
              <w:pStyle w:val="ListBullet"/>
              <w:rPr>
                <w:lang w:val="en-NZ"/>
              </w:rPr>
            </w:pPr>
            <w:r w:rsidRPr="00821A71">
              <w:t>adhesives</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RPr="00821A71" w:rsidP="00821A71">
            <w:pPr>
              <w:pStyle w:val="ListBullet"/>
            </w:pPr>
            <w:r w:rsidRPr="00821A71">
              <w:t xml:space="preserve">hot welding </w:t>
            </w:r>
          </w:p>
          <w:p w:rsidR="00000000" w:rsidP="00821A71">
            <w:pPr>
              <w:pStyle w:val="ListBullet"/>
              <w:rPr>
                <w:lang w:val="en-NZ"/>
              </w:rPr>
            </w:pPr>
            <w:r w:rsidRPr="00821A71">
              <w:t>chemical welding</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1A71">
            <w:pPr>
              <w:pStyle w:val="BodyText"/>
              <w:rPr>
                <w:lang w:val="en-NZ"/>
              </w:rPr>
            </w:pPr>
            <w:r w:rsidRPr="00821A7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21A71">
            <w:pPr>
              <w:pStyle w:val="ListBullet"/>
              <w:rPr>
                <w:lang w:val="en-NZ"/>
              </w:rPr>
            </w:pPr>
            <w:r w:rsidRPr="00821A71">
              <w:t xml:space="preserve">that prescribed under legislation, regulations and enterprise policies and practices </w:t>
            </w:r>
          </w:p>
        </w:tc>
      </w:tr>
      <w:tr w:rsidTr="00821A7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1A71" w:rsidP="00821A71">
            <w:pPr>
              <w:pStyle w:val="BodyText"/>
            </w:pPr>
            <w:r w:rsidRPr="00821A71">
              <w:rPr>
                <w:rStyle w:val="SpecialBold"/>
              </w:rPr>
              <w:t>Information and procedures include:</w:t>
            </w:r>
          </w:p>
          <w:p w:rsidR="00000000" w:rsidP="00821A7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1A71" w:rsidP="00821A71">
            <w:pPr>
              <w:pStyle w:val="ListBullet"/>
            </w:pPr>
            <w:r w:rsidRPr="00821A71">
              <w:t xml:space="preserve">workplace procedures relating to the use of tools and equipment </w:t>
            </w:r>
          </w:p>
          <w:p w:rsidR="00000000" w:rsidRPr="00821A71" w:rsidP="00821A71">
            <w:pPr>
              <w:pStyle w:val="ListBullet"/>
            </w:pPr>
            <w:r w:rsidRPr="00821A71">
              <w:t>work instructions, includi</w:t>
            </w:r>
            <w:r w:rsidRPr="00821A71">
              <w:t xml:space="preserve">ng job sheets, cutting lists, plans, drawings and designs </w:t>
            </w:r>
          </w:p>
          <w:p w:rsidR="00000000" w:rsidRPr="00821A71" w:rsidP="00821A71">
            <w:pPr>
              <w:pStyle w:val="ListBullet"/>
            </w:pPr>
            <w:r w:rsidRPr="00821A71">
              <w:t xml:space="preserve">workplace procedures relating to reporting and communication </w:t>
            </w:r>
          </w:p>
          <w:p w:rsidR="00000000" w:rsidRPr="00821A71" w:rsidP="00821A71">
            <w:pPr>
              <w:pStyle w:val="ListBullet"/>
            </w:pPr>
            <w:r w:rsidRPr="00821A71">
              <w:t xml:space="preserve">manufacturer specifications and operational procedures </w:t>
            </w:r>
          </w:p>
        </w:tc>
      </w:tr>
    </w:tbl>
    <w:p w:rsidR="00000000" w:rsidRPr="00821A71" w:rsidP="00821A71">
      <w:pPr>
        <w:pStyle w:val="BodyText"/>
      </w:pPr>
    </w:p>
    <w:p w:rsidR="00000000" w:rsidRPr="00821A71" w:rsidP="00821A71">
      <w:pPr>
        <w:pStyle w:val="AllowPageBreak"/>
      </w:pPr>
    </w:p>
    <w:p w:rsidR="00000000" w:rsidRPr="00821A71" w:rsidP="00821A71">
      <w:pPr>
        <w:pStyle w:val="Heading1"/>
      </w:pPr>
      <w:bookmarkStart w:id="9" w:name="O_635929"/>
      <w:bookmarkEnd w:id="9"/>
      <w:r w:rsidRPr="00821A71">
        <w:t>Unit Mapping Information</w:t>
      </w:r>
    </w:p>
    <w:p w:rsidR="00000000" w:rsidRPr="00821A71" w:rsidP="00821A71">
      <w:pPr>
        <w:pStyle w:val="BodyText"/>
      </w:pPr>
      <w:r w:rsidRPr="00821A71">
        <w:t>Supersedes and is equivalent to LMF</w:t>
      </w:r>
      <w:r w:rsidRPr="00821A71">
        <w:t>FL3303A Install resilient floor coverings using custom designs and decorative finishes</w:t>
      </w:r>
    </w:p>
    <w:p w:rsidR="00000000" w:rsidRPr="00821A71" w:rsidP="00821A71">
      <w:pPr>
        <w:pStyle w:val="AllowPageBreak"/>
      </w:pPr>
    </w:p>
    <w:p w:rsidR="00000000" w:rsidRPr="00821A71" w:rsidP="00821A71">
      <w:pPr>
        <w:pStyle w:val="Heading1"/>
      </w:pPr>
      <w:bookmarkStart w:id="10" w:name="O_635922"/>
      <w:bookmarkEnd w:id="10"/>
      <w:r w:rsidRPr="00821A71">
        <w:t>Links</w:t>
      </w:r>
    </w:p>
    <w:p w:rsidR="00000000" w:rsidRPr="00821A71" w:rsidP="00821A71">
      <w:pPr>
        <w:pStyle w:val="BodyText"/>
      </w:pPr>
      <w:r w:rsidRPr="00821A71">
        <w:t>Companion Volume implementation guides are found in VETNet - https://vetnet.education.gov.au/Pages/TrainingDocs.aspx?q=0601ab95-583a-4e93-b2d4-cfb</w:t>
      </w:r>
      <w:r w:rsidRPr="00821A71">
        <w:t>27b03ed73</w:t>
      </w:r>
    </w:p>
    <w:p w:rsidR="00000000" w:rsidRPr="00821A71" w:rsidP="00821A71"/>
    <w:sectPr w:rsidSect="00821A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1" w:rsidRPr="003C0EA2" w:rsidP="003C0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rsidP="00821A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C0EA2" w:rsidP="00821A7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0EA2" w:rsidP="00821A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1A71" w:rsidRPr="003C0EA2" w:rsidP="003C0E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1A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A2" w:rsidRPr="002D2AF8" w:rsidP="00821A71">
    <w:pPr>
      <w:pStyle w:val="Header"/>
      <w:framePr w:wrap="around"/>
    </w:pPr>
    <w:r>
      <w:fldChar w:fldCharType="begin"/>
    </w:r>
    <w:r>
      <w:instrText xml:space="preserve"> TITLE   \* MERGEFORMAT </w:instrText>
    </w:r>
    <w:r>
      <w:fldChar w:fldCharType="separate"/>
    </w:r>
    <w:r>
      <w:t>MSFFL3014 Install resilient floor coverings using custom designs and decorative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C0EA2" w:rsidP="00821A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16A8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98D0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A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1A71"/>
    <w:pPr>
      <w:spacing w:before="360" w:after="60"/>
      <w:outlineLvl w:val="0"/>
    </w:pPr>
    <w:rPr>
      <w:sz w:val="32"/>
    </w:rPr>
  </w:style>
  <w:style w:type="paragraph" w:styleId="Heading2">
    <w:name w:val="heading 2"/>
    <w:basedOn w:val="HeadingBase"/>
    <w:next w:val="BodyText"/>
    <w:link w:val="Heading2Char"/>
    <w:qFormat/>
    <w:rsid w:val="00821A71"/>
    <w:pPr>
      <w:keepLines/>
      <w:spacing w:before="240" w:after="120"/>
      <w:outlineLvl w:val="1"/>
    </w:pPr>
    <w:rPr>
      <w:sz w:val="28"/>
      <w:szCs w:val="40"/>
    </w:rPr>
  </w:style>
  <w:style w:type="paragraph" w:styleId="Heading3">
    <w:name w:val="heading 3"/>
    <w:basedOn w:val="HeadingBase"/>
    <w:next w:val="BodyText"/>
    <w:link w:val="Heading3Char"/>
    <w:qFormat/>
    <w:rsid w:val="00821A71"/>
    <w:pPr>
      <w:spacing w:before="180" w:after="120"/>
      <w:outlineLvl w:val="2"/>
    </w:pPr>
    <w:rPr>
      <w:spacing w:val="-10"/>
      <w:kern w:val="32"/>
    </w:rPr>
  </w:style>
  <w:style w:type="paragraph" w:styleId="Heading4">
    <w:name w:val="heading 4"/>
    <w:basedOn w:val="HeadingBase"/>
    <w:next w:val="BodyText"/>
    <w:link w:val="Heading4Char"/>
    <w:qFormat/>
    <w:rsid w:val="00821A71"/>
    <w:pPr>
      <w:spacing w:before="160" w:after="120"/>
      <w:outlineLvl w:val="3"/>
    </w:pPr>
    <w:rPr>
      <w:sz w:val="22"/>
    </w:rPr>
  </w:style>
  <w:style w:type="paragraph" w:styleId="Heading5">
    <w:name w:val="heading 5"/>
    <w:basedOn w:val="HeadingBase"/>
    <w:next w:val="Normal"/>
    <w:link w:val="Heading5Char"/>
    <w:qFormat/>
    <w:rsid w:val="00821A71"/>
    <w:pPr>
      <w:spacing w:before="80"/>
      <w:outlineLvl w:val="4"/>
    </w:pPr>
    <w:rPr>
      <w:color w:val="918585"/>
      <w:sz w:val="20"/>
    </w:rPr>
  </w:style>
  <w:style w:type="paragraph" w:styleId="Heading6">
    <w:name w:val="heading 6"/>
    <w:basedOn w:val="HeadingBase"/>
    <w:next w:val="Normal"/>
    <w:link w:val="Heading6Char"/>
    <w:qFormat/>
    <w:rsid w:val="00821A71"/>
    <w:pPr>
      <w:spacing w:before="60"/>
      <w:outlineLvl w:val="5"/>
    </w:pPr>
    <w:rPr>
      <w:color w:val="918585"/>
      <w:sz w:val="20"/>
    </w:rPr>
  </w:style>
  <w:style w:type="paragraph" w:styleId="Heading7">
    <w:name w:val="heading 7"/>
    <w:basedOn w:val="Normal"/>
    <w:next w:val="Normal"/>
    <w:link w:val="Heading7Char"/>
    <w:qFormat/>
    <w:rsid w:val="00821A71"/>
    <w:pPr>
      <w:ind w:left="720"/>
      <w:outlineLvl w:val="6"/>
    </w:pPr>
    <w:rPr>
      <w:i/>
    </w:rPr>
  </w:style>
  <w:style w:type="paragraph" w:styleId="Heading8">
    <w:name w:val="heading 8"/>
    <w:basedOn w:val="Normal"/>
    <w:next w:val="Normal"/>
    <w:link w:val="Heading8Char"/>
    <w:qFormat/>
    <w:rsid w:val="00821A71"/>
    <w:pPr>
      <w:ind w:left="720"/>
      <w:outlineLvl w:val="7"/>
    </w:pPr>
    <w:rPr>
      <w:i/>
    </w:rPr>
  </w:style>
  <w:style w:type="paragraph" w:styleId="Heading9">
    <w:name w:val="heading 9"/>
    <w:basedOn w:val="Normal"/>
    <w:next w:val="Normal"/>
    <w:link w:val="Heading9Char"/>
    <w:qFormat/>
    <w:rsid w:val="00821A71"/>
    <w:pPr>
      <w:ind w:left="720"/>
      <w:outlineLvl w:val="8"/>
    </w:pPr>
    <w:rPr>
      <w:i/>
    </w:rPr>
  </w:style>
  <w:style w:type="character" w:default="1" w:styleId="DefaultParagraphFont">
    <w:name w:val="Default Paragraph Font"/>
    <w:uiPriority w:val="1"/>
    <w:unhideWhenUsed/>
    <w:rsid w:val="00821A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1A71"/>
  </w:style>
  <w:style w:type="character" w:customStyle="1" w:styleId="Heading1Char">
    <w:name w:val="Heading 1 Char"/>
    <w:basedOn w:val="DefaultParagraphFont"/>
    <w:link w:val="Heading1"/>
    <w:rsid w:val="00821A71"/>
    <w:rPr>
      <w:rFonts w:ascii="Times New Roman" w:eastAsia="Times New Roman" w:hAnsi="Times New Roman" w:cs="Times New Roman"/>
      <w:b/>
      <w:sz w:val="32"/>
      <w:szCs w:val="20"/>
      <w:lang w:eastAsia="en-US"/>
    </w:rPr>
  </w:style>
  <w:style w:type="paragraph" w:styleId="BodyText">
    <w:name w:val="Body Text"/>
    <w:basedOn w:val="Normal"/>
    <w:link w:val="BodyTextChar"/>
    <w:rsid w:val="00821A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1A71"/>
    <w:rPr>
      <w:rFonts w:ascii="Times New Roman" w:eastAsia="Times New Roman" w:hAnsi="Times New Roman" w:cs="Times New Roman"/>
      <w:sz w:val="24"/>
      <w:lang w:eastAsia="en-US"/>
    </w:rPr>
  </w:style>
  <w:style w:type="paragraph" w:styleId="ListBullet">
    <w:name w:val="List Bullet"/>
    <w:basedOn w:val="List"/>
    <w:rsid w:val="00821A71"/>
    <w:pPr>
      <w:numPr>
        <w:numId w:val="12"/>
      </w:numPr>
      <w:tabs>
        <w:tab w:val="clear" w:pos="340"/>
      </w:tabs>
      <w:spacing w:before="40" w:after="40"/>
    </w:pPr>
  </w:style>
  <w:style w:type="character" w:customStyle="1" w:styleId="SpecialBold">
    <w:name w:val="Special Bold"/>
    <w:basedOn w:val="DefaultParagraphFont"/>
    <w:rsid w:val="00821A71"/>
    <w:rPr>
      <w:b/>
      <w:spacing w:val="0"/>
    </w:rPr>
  </w:style>
  <w:style w:type="paragraph" w:customStyle="1" w:styleId="SuperHeading">
    <w:name w:val="SuperHeading"/>
    <w:basedOn w:val="Normal"/>
    <w:rsid w:val="00821A71"/>
    <w:pPr>
      <w:spacing w:before="240" w:after="120"/>
      <w:outlineLvl w:val="0"/>
    </w:pPr>
    <w:rPr>
      <w:rFonts w:ascii="Times New Roman" w:hAnsi="Times New Roman"/>
      <w:b/>
      <w:sz w:val="32"/>
    </w:rPr>
  </w:style>
  <w:style w:type="paragraph" w:customStyle="1" w:styleId="AllowPageBreak">
    <w:name w:val="AllowPageBreak"/>
    <w:rsid w:val="00821A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1A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1A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1A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1A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1A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1A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1A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1A71"/>
    <w:rPr>
      <w:rFonts w:ascii="Courier New" w:eastAsia="Times New Roman" w:hAnsi="Courier New" w:cs="Times New Roman"/>
      <w:i/>
      <w:szCs w:val="20"/>
      <w:lang w:eastAsia="en-US"/>
    </w:rPr>
  </w:style>
  <w:style w:type="paragraph" w:customStyle="1" w:styleId="HeadingBase">
    <w:name w:val="Heading Base"/>
    <w:rsid w:val="00821A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1A71"/>
    <w:pPr>
      <w:tabs>
        <w:tab w:val="right" w:leader="dot" w:pos="9072"/>
      </w:tabs>
      <w:ind w:left="567"/>
    </w:pPr>
    <w:rPr>
      <w:szCs w:val="22"/>
    </w:rPr>
  </w:style>
  <w:style w:type="paragraph" w:customStyle="1" w:styleId="TOCBase">
    <w:name w:val="TOC Base"/>
    <w:rsid w:val="00821A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1A71"/>
    <w:pPr>
      <w:tabs>
        <w:tab w:val="right" w:leader="dot" w:pos="9072"/>
      </w:tabs>
      <w:spacing w:before="40" w:after="40"/>
      <w:ind w:left="284"/>
    </w:pPr>
    <w:rPr>
      <w:rFonts w:ascii="Times New Roman" w:hAnsi="Times New Roman"/>
    </w:rPr>
  </w:style>
  <w:style w:type="paragraph" w:styleId="TOC1">
    <w:name w:val="toc 1"/>
    <w:basedOn w:val="TOCBase"/>
    <w:next w:val="Normal"/>
    <w:rsid w:val="00821A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1A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1A71"/>
    <w:rPr>
      <w:rFonts w:ascii="Times New Roman" w:eastAsia="Times New Roman" w:hAnsi="Times New Roman" w:cs="Times New Roman"/>
      <w:sz w:val="16"/>
      <w:lang w:eastAsia="en-US"/>
    </w:rPr>
  </w:style>
  <w:style w:type="paragraph" w:styleId="Title">
    <w:name w:val="Title"/>
    <w:basedOn w:val="HeadingBase"/>
    <w:link w:val="TitleChar"/>
    <w:qFormat/>
    <w:rsid w:val="00821A71"/>
    <w:pPr>
      <w:spacing w:before="5040"/>
      <w:jc w:val="center"/>
    </w:pPr>
    <w:rPr>
      <w:sz w:val="48"/>
      <w:szCs w:val="72"/>
      <w:lang w:val="en-US"/>
    </w:rPr>
  </w:style>
  <w:style w:type="character" w:customStyle="1" w:styleId="TitleChar">
    <w:name w:val="Title Char"/>
    <w:basedOn w:val="DefaultParagraphFont"/>
    <w:link w:val="Title"/>
    <w:rsid w:val="00821A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1A71"/>
    <w:pPr>
      <w:tabs>
        <w:tab w:val="left" w:pos="3600"/>
        <w:tab w:val="left" w:pos="3958"/>
      </w:tabs>
    </w:pPr>
  </w:style>
  <w:style w:type="paragraph" w:styleId="List">
    <w:name w:val="List"/>
    <w:basedOn w:val="BodyText"/>
    <w:next w:val="BodyText"/>
    <w:rsid w:val="00821A71"/>
    <w:pPr>
      <w:tabs>
        <w:tab w:val="left" w:pos="340"/>
      </w:tabs>
      <w:spacing w:before="60" w:after="60"/>
      <w:ind w:left="340" w:hanging="340"/>
    </w:pPr>
  </w:style>
  <w:style w:type="paragraph" w:customStyle="1" w:styleId="Note">
    <w:name w:val="Note"/>
    <w:basedOn w:val="BodyText"/>
    <w:rsid w:val="00821A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1A71"/>
    <w:pPr>
      <w:framePr w:wrap="auto" w:hAnchor="text" w:y="6049"/>
    </w:pPr>
    <w:rPr>
      <w:color w:val="000000"/>
      <w:sz w:val="40"/>
    </w:rPr>
  </w:style>
  <w:style w:type="paragraph" w:customStyle="1" w:styleId="TOCTitle">
    <w:name w:val="TOCTitle"/>
    <w:basedOn w:val="Heading1"/>
    <w:rsid w:val="00821A71"/>
    <w:pPr>
      <w:spacing w:after="240"/>
      <w:jc w:val="center"/>
      <w:outlineLvl w:val="9"/>
    </w:pPr>
    <w:rPr>
      <w:caps/>
    </w:rPr>
  </w:style>
  <w:style w:type="paragraph" w:customStyle="1" w:styleId="Version">
    <w:name w:val="Version"/>
    <w:rsid w:val="00821A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1A71"/>
    <w:pPr>
      <w:numPr>
        <w:numId w:val="13"/>
      </w:numPr>
      <w:tabs>
        <w:tab w:val="clear" w:pos="680"/>
      </w:tabs>
    </w:pPr>
  </w:style>
  <w:style w:type="paragraph" w:styleId="Index1">
    <w:name w:val="index 1"/>
    <w:basedOn w:val="Normal"/>
    <w:next w:val="Normal"/>
    <w:semiHidden/>
    <w:rsid w:val="00821A71"/>
    <w:pPr>
      <w:keepNext w:val="0"/>
      <w:tabs>
        <w:tab w:val="right" w:pos="4176"/>
      </w:tabs>
      <w:ind w:left="198" w:hanging="198"/>
    </w:pPr>
    <w:rPr>
      <w:rFonts w:ascii="Garamond" w:hAnsi="Garamond"/>
    </w:rPr>
  </w:style>
  <w:style w:type="paragraph" w:styleId="IndexHeading">
    <w:name w:val="index heading"/>
    <w:basedOn w:val="Normal"/>
    <w:next w:val="Index1"/>
    <w:semiHidden/>
    <w:rsid w:val="00821A71"/>
    <w:pPr>
      <w:spacing w:before="120" w:after="120"/>
    </w:pPr>
    <w:rPr>
      <w:rFonts w:ascii="Arial" w:hAnsi="Arial"/>
      <w:b/>
      <w:color w:val="918585"/>
      <w:sz w:val="24"/>
    </w:rPr>
  </w:style>
  <w:style w:type="paragraph" w:styleId="Header">
    <w:name w:val="header"/>
    <w:basedOn w:val="Normal"/>
    <w:link w:val="HeaderChar"/>
    <w:rsid w:val="00821A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1A71"/>
    <w:rPr>
      <w:rFonts w:ascii="Times New Roman" w:eastAsia="Times New Roman" w:hAnsi="Times New Roman" w:cs="Times New Roman"/>
      <w:sz w:val="16"/>
      <w:szCs w:val="20"/>
      <w:lang w:val="en-GB" w:eastAsia="en-US"/>
    </w:rPr>
  </w:style>
  <w:style w:type="paragraph" w:customStyle="1" w:styleId="Chapter">
    <w:name w:val="Chapter"/>
    <w:basedOn w:val="Normal"/>
    <w:rsid w:val="00821A71"/>
    <w:pPr>
      <w:spacing w:before="240"/>
    </w:pPr>
    <w:rPr>
      <w:rFonts w:ascii="Times New Roman" w:hAnsi="Times New Roman"/>
      <w:smallCaps/>
      <w:spacing w:val="80"/>
      <w:sz w:val="28"/>
    </w:rPr>
  </w:style>
  <w:style w:type="paragraph" w:customStyle="1" w:styleId="InChapter">
    <w:name w:val="InChapter"/>
    <w:basedOn w:val="Heading3"/>
    <w:rsid w:val="00821A71"/>
    <w:pPr>
      <w:spacing w:after="240"/>
      <w:outlineLvl w:val="9"/>
    </w:pPr>
    <w:rPr>
      <w:noProof/>
    </w:rPr>
  </w:style>
  <w:style w:type="paragraph" w:styleId="Index2">
    <w:name w:val="index 2"/>
    <w:basedOn w:val="Normal"/>
    <w:next w:val="Normal"/>
    <w:semiHidden/>
    <w:rsid w:val="00821A71"/>
    <w:pPr>
      <w:tabs>
        <w:tab w:val="right" w:pos="4176"/>
      </w:tabs>
      <w:ind w:left="568" w:hanging="284"/>
    </w:pPr>
    <w:rPr>
      <w:rFonts w:ascii="Garamond" w:hAnsi="Garamond"/>
    </w:rPr>
  </w:style>
  <w:style w:type="paragraph" w:customStyle="1" w:styleId="Byline">
    <w:name w:val="Byline"/>
    <w:rsid w:val="00821A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1A71"/>
    <w:pPr>
      <w:tabs>
        <w:tab w:val="clear" w:pos="3600"/>
        <w:tab w:val="clear" w:pos="3958"/>
      </w:tabs>
      <w:jc w:val="right"/>
    </w:pPr>
  </w:style>
  <w:style w:type="character" w:styleId="Emphasis">
    <w:name w:val="Emphasis"/>
    <w:basedOn w:val="DefaultParagraphFont"/>
    <w:qFormat/>
    <w:rsid w:val="00821A71"/>
    <w:rPr>
      <w:i/>
    </w:rPr>
  </w:style>
  <w:style w:type="paragraph" w:styleId="Caption">
    <w:name w:val="caption"/>
    <w:basedOn w:val="BodyText"/>
    <w:next w:val="Normal"/>
    <w:qFormat/>
    <w:rsid w:val="00821A71"/>
    <w:pPr>
      <w:framePr w:w="2268" w:hSpace="181" w:vSpace="181" w:wrap="around" w:vAnchor="text" w:hAnchor="page" w:x="1135" w:y="285" w:anchorLock="1"/>
    </w:pPr>
    <w:rPr>
      <w:i/>
    </w:rPr>
  </w:style>
  <w:style w:type="paragraph" w:customStyle="1" w:styleId="MiniTOCTitle">
    <w:name w:val="MiniTOCTitle"/>
    <w:basedOn w:val="Heading4"/>
    <w:rsid w:val="00821A71"/>
    <w:pPr>
      <w:spacing w:before="240"/>
      <w:outlineLvl w:val="9"/>
    </w:pPr>
    <w:rPr>
      <w:noProof/>
      <w:sz w:val="24"/>
    </w:rPr>
  </w:style>
  <w:style w:type="paragraph" w:customStyle="1" w:styleId="MiniTOCItem">
    <w:name w:val="MiniTOCItem"/>
    <w:basedOn w:val="ListBullet"/>
    <w:rsid w:val="00821A71"/>
    <w:pPr>
      <w:numPr>
        <w:numId w:val="0"/>
      </w:numPr>
      <w:tabs>
        <w:tab w:val="right" w:leader="dot" w:pos="6521"/>
      </w:tabs>
      <w:spacing w:before="0" w:after="0"/>
    </w:pPr>
  </w:style>
  <w:style w:type="paragraph" w:customStyle="1" w:styleId="TOFTitle">
    <w:name w:val="TOFTitle"/>
    <w:basedOn w:val="TOCTitle"/>
    <w:rsid w:val="00821A71"/>
  </w:style>
  <w:style w:type="paragraph" w:styleId="TableofFigures">
    <w:name w:val="table of figures"/>
    <w:basedOn w:val="Normal"/>
    <w:next w:val="Normal"/>
    <w:semiHidden/>
    <w:rsid w:val="00821A71"/>
    <w:pPr>
      <w:tabs>
        <w:tab w:val="right" w:leader="dot" w:pos="9072"/>
      </w:tabs>
      <w:ind w:left="970" w:hanging="403"/>
    </w:pPr>
    <w:rPr>
      <w:rFonts w:ascii="Times New Roman" w:hAnsi="Times New Roman"/>
      <w:b/>
    </w:rPr>
  </w:style>
  <w:style w:type="paragraph" w:styleId="ListNumber">
    <w:name w:val="List Number"/>
    <w:basedOn w:val="List"/>
    <w:rsid w:val="00821A71"/>
    <w:pPr>
      <w:numPr>
        <w:numId w:val="10"/>
      </w:numPr>
    </w:pPr>
  </w:style>
  <w:style w:type="character" w:customStyle="1" w:styleId="WingdingSymbols">
    <w:name w:val="Wingding Symbols"/>
    <w:rsid w:val="00821A71"/>
    <w:rPr>
      <w:rFonts w:ascii="Wingdings" w:hAnsi="Wingdings"/>
    </w:rPr>
  </w:style>
  <w:style w:type="paragraph" w:customStyle="1" w:styleId="TableHeading">
    <w:name w:val="Table Heading"/>
    <w:basedOn w:val="HeadingBase"/>
    <w:rsid w:val="00821A71"/>
    <w:pPr>
      <w:keepLines/>
      <w:pBdr>
        <w:bottom w:val="single" w:sz="6" w:space="1" w:color="918585"/>
      </w:pBdr>
      <w:spacing w:before="240"/>
    </w:pPr>
  </w:style>
  <w:style w:type="character" w:customStyle="1" w:styleId="HotSpot">
    <w:name w:val="HotSpot"/>
    <w:rsid w:val="00821A71"/>
    <w:rPr>
      <w:color w:val="0033CC"/>
      <w:u w:val="none"/>
    </w:rPr>
  </w:style>
  <w:style w:type="paragraph" w:customStyle="1" w:styleId="BodyTextRight">
    <w:name w:val="Body Text Right"/>
    <w:basedOn w:val="BodyText"/>
    <w:rsid w:val="00821A71"/>
    <w:pPr>
      <w:spacing w:before="0" w:after="0"/>
      <w:jc w:val="right"/>
    </w:pPr>
  </w:style>
  <w:style w:type="paragraph" w:styleId="Index3">
    <w:name w:val="index 3"/>
    <w:basedOn w:val="ListNumber2"/>
    <w:next w:val="Normal"/>
    <w:semiHidden/>
    <w:rsid w:val="00821A71"/>
    <w:pPr>
      <w:numPr>
        <w:numId w:val="0"/>
      </w:numPr>
      <w:tabs>
        <w:tab w:val="right" w:leader="dot" w:pos="4176"/>
      </w:tabs>
    </w:pPr>
  </w:style>
  <w:style w:type="paragraph" w:styleId="ListNumber2">
    <w:name w:val="List Number 2"/>
    <w:basedOn w:val="List2"/>
    <w:rsid w:val="00821A71"/>
    <w:pPr>
      <w:numPr>
        <w:numId w:val="9"/>
      </w:numPr>
      <w:tabs>
        <w:tab w:val="clear" w:pos="1060"/>
      </w:tabs>
    </w:pPr>
  </w:style>
  <w:style w:type="paragraph" w:customStyle="1" w:styleId="MarginNote">
    <w:name w:val="Margin Note"/>
    <w:basedOn w:val="BodyText"/>
    <w:rsid w:val="00821A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1A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1A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1A71"/>
    <w:rPr>
      <w:sz w:val="32"/>
    </w:rPr>
  </w:style>
  <w:style w:type="paragraph" w:customStyle="1" w:styleId="HeadingProcedure">
    <w:name w:val="Heading Procedure"/>
    <w:basedOn w:val="HeadingBase"/>
    <w:next w:val="Normal"/>
    <w:rsid w:val="00821A71"/>
    <w:pPr>
      <w:tabs>
        <w:tab w:val="left" w:pos="0"/>
      </w:tabs>
      <w:spacing w:before="120" w:after="60"/>
    </w:pPr>
    <w:rPr>
      <w:i/>
      <w:color w:val="918585"/>
      <w:sz w:val="22"/>
    </w:rPr>
  </w:style>
  <w:style w:type="paragraph" w:customStyle="1" w:styleId="TableBodyText">
    <w:name w:val="Table Body Text"/>
    <w:basedOn w:val="BodyText"/>
    <w:rsid w:val="00821A71"/>
    <w:pPr>
      <w:spacing w:before="60" w:after="60"/>
    </w:pPr>
  </w:style>
  <w:style w:type="paragraph" w:styleId="ListContinue">
    <w:name w:val="List Continue"/>
    <w:basedOn w:val="List"/>
    <w:rsid w:val="00821A71"/>
    <w:pPr>
      <w:ind w:firstLine="0"/>
    </w:pPr>
  </w:style>
  <w:style w:type="paragraph" w:customStyle="1" w:styleId="ListNote">
    <w:name w:val="List Note"/>
    <w:basedOn w:val="List"/>
    <w:rsid w:val="00821A71"/>
    <w:pPr>
      <w:pBdr>
        <w:top w:val="single" w:sz="6" w:space="2" w:color="918585"/>
        <w:bottom w:val="single" w:sz="6" w:space="2" w:color="918585"/>
      </w:pBdr>
      <w:tabs>
        <w:tab w:val="left" w:pos="1021"/>
      </w:tabs>
      <w:ind w:firstLine="0"/>
    </w:pPr>
  </w:style>
  <w:style w:type="paragraph" w:customStyle="1" w:styleId="Warning">
    <w:name w:val="Warning"/>
    <w:basedOn w:val="BodyText"/>
    <w:rsid w:val="00821A71"/>
    <w:pPr>
      <w:shd w:val="clear" w:color="auto" w:fill="D9D9D9"/>
      <w:tabs>
        <w:tab w:val="left" w:pos="992"/>
      </w:tabs>
      <w:ind w:left="119" w:right="119"/>
    </w:pPr>
    <w:rPr>
      <w:sz w:val="20"/>
    </w:rPr>
  </w:style>
  <w:style w:type="paragraph" w:customStyle="1" w:styleId="MarginIcons">
    <w:name w:val="Margin Icons"/>
    <w:basedOn w:val="BodyText"/>
    <w:rsid w:val="00821A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1A71"/>
    <w:rPr>
      <w:rFonts w:ascii="Courier New" w:hAnsi="Courier New"/>
    </w:rPr>
  </w:style>
  <w:style w:type="paragraph" w:customStyle="1" w:styleId="NoteBullet">
    <w:name w:val="Note Bullet"/>
    <w:basedOn w:val="Note"/>
    <w:rsid w:val="00821A71"/>
    <w:pPr>
      <w:tabs>
        <w:tab w:val="clear" w:pos="680"/>
      </w:tabs>
      <w:spacing w:before="60" w:after="60"/>
    </w:pPr>
  </w:style>
  <w:style w:type="paragraph" w:customStyle="1" w:styleId="SubHeading2">
    <w:name w:val="SubHeading2"/>
    <w:basedOn w:val="HeadingBase"/>
    <w:rsid w:val="00821A71"/>
    <w:pPr>
      <w:spacing w:before="240" w:after="60"/>
    </w:pPr>
    <w:rPr>
      <w:sz w:val="20"/>
    </w:rPr>
  </w:style>
  <w:style w:type="paragraph" w:customStyle="1" w:styleId="SubHeading1">
    <w:name w:val="SubHeading1"/>
    <w:basedOn w:val="HeadingBase"/>
    <w:rsid w:val="00821A71"/>
    <w:pPr>
      <w:spacing w:before="240" w:after="60"/>
    </w:pPr>
    <w:rPr>
      <w:color w:val="918585"/>
      <w:sz w:val="22"/>
    </w:rPr>
  </w:style>
  <w:style w:type="paragraph" w:customStyle="1" w:styleId="SideHeading">
    <w:name w:val="Side Heading"/>
    <w:basedOn w:val="HeadingBase"/>
    <w:rsid w:val="00821A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1A71"/>
    <w:pPr>
      <w:tabs>
        <w:tab w:val="num" w:pos="360"/>
      </w:tabs>
    </w:pPr>
  </w:style>
  <w:style w:type="paragraph" w:styleId="PlainText">
    <w:name w:val="Plain Text"/>
    <w:basedOn w:val="Normal"/>
    <w:link w:val="PlainTextChar"/>
    <w:rsid w:val="00821A71"/>
    <w:rPr>
      <w:sz w:val="20"/>
    </w:rPr>
  </w:style>
  <w:style w:type="character" w:customStyle="1" w:styleId="PlainTextChar">
    <w:name w:val="Plain Text Char"/>
    <w:basedOn w:val="DefaultParagraphFont"/>
    <w:link w:val="PlainText"/>
    <w:rsid w:val="00821A71"/>
    <w:rPr>
      <w:rFonts w:ascii="Courier New" w:eastAsia="Times New Roman" w:hAnsi="Courier New" w:cs="Times New Roman"/>
      <w:sz w:val="20"/>
      <w:szCs w:val="20"/>
      <w:lang w:eastAsia="en-US"/>
    </w:rPr>
  </w:style>
  <w:style w:type="character" w:customStyle="1" w:styleId="MenuOption">
    <w:name w:val="Menu Option"/>
    <w:basedOn w:val="DefaultParagraphFont"/>
    <w:rsid w:val="00821A71"/>
    <w:rPr>
      <w:b/>
      <w:smallCaps/>
    </w:rPr>
  </w:style>
  <w:style w:type="paragraph" w:customStyle="1" w:styleId="TableListNumber">
    <w:name w:val="Table List Number"/>
    <w:basedOn w:val="ListNumber"/>
    <w:rsid w:val="00821A71"/>
    <w:pPr>
      <w:numPr>
        <w:numId w:val="0"/>
      </w:numPr>
    </w:pPr>
  </w:style>
  <w:style w:type="paragraph" w:styleId="TOC4">
    <w:name w:val="toc 4"/>
    <w:basedOn w:val="TOCBase"/>
    <w:next w:val="Normal"/>
    <w:semiHidden/>
    <w:rsid w:val="00821A71"/>
    <w:pPr>
      <w:tabs>
        <w:tab w:val="right" w:leader="dot" w:pos="9071"/>
      </w:tabs>
      <w:ind w:left="1701"/>
    </w:pPr>
  </w:style>
  <w:style w:type="paragraph" w:customStyle="1" w:styleId="ListAlpha">
    <w:name w:val="List Alpha"/>
    <w:basedOn w:val="List"/>
    <w:rsid w:val="00821A71"/>
    <w:pPr>
      <w:numPr>
        <w:numId w:val="8"/>
      </w:numPr>
    </w:pPr>
  </w:style>
  <w:style w:type="paragraph" w:customStyle="1" w:styleId="ListAlpha2">
    <w:name w:val="List Alpha 2"/>
    <w:basedOn w:val="List2"/>
    <w:rsid w:val="00821A71"/>
    <w:pPr>
      <w:numPr>
        <w:numId w:val="7"/>
      </w:numPr>
    </w:pPr>
  </w:style>
  <w:style w:type="paragraph" w:styleId="List2">
    <w:name w:val="List 2"/>
    <w:basedOn w:val="BodyText"/>
    <w:rsid w:val="00821A71"/>
    <w:pPr>
      <w:tabs>
        <w:tab w:val="left" w:pos="680"/>
      </w:tabs>
      <w:spacing w:before="60" w:after="60"/>
      <w:ind w:left="680" w:hanging="340"/>
    </w:pPr>
  </w:style>
  <w:style w:type="paragraph" w:styleId="List3">
    <w:name w:val="List 3"/>
    <w:basedOn w:val="BodyText"/>
    <w:rsid w:val="00821A71"/>
    <w:pPr>
      <w:tabs>
        <w:tab w:val="left" w:pos="1021"/>
      </w:tabs>
      <w:spacing w:before="60" w:after="60"/>
      <w:ind w:left="1020" w:hanging="340"/>
    </w:pPr>
  </w:style>
  <w:style w:type="paragraph" w:styleId="List4">
    <w:name w:val="List 4"/>
    <w:basedOn w:val="BodyText"/>
    <w:rsid w:val="00821A71"/>
    <w:pPr>
      <w:tabs>
        <w:tab w:val="left" w:pos="1361"/>
      </w:tabs>
      <w:spacing w:before="60" w:after="60"/>
      <w:ind w:left="1361" w:hanging="340"/>
    </w:pPr>
  </w:style>
  <w:style w:type="paragraph" w:styleId="List5">
    <w:name w:val="List 5"/>
    <w:basedOn w:val="BodyText"/>
    <w:rsid w:val="00821A71"/>
    <w:pPr>
      <w:tabs>
        <w:tab w:val="left" w:pos="1701"/>
      </w:tabs>
      <w:spacing w:before="60" w:after="60"/>
      <w:ind w:left="1701" w:hanging="340"/>
    </w:pPr>
  </w:style>
  <w:style w:type="paragraph" w:styleId="ListBullet3">
    <w:name w:val="List Bullet 3"/>
    <w:basedOn w:val="List3"/>
    <w:rsid w:val="00821A71"/>
    <w:pPr>
      <w:numPr>
        <w:numId w:val="14"/>
      </w:numPr>
      <w:tabs>
        <w:tab w:val="clear" w:pos="1021"/>
      </w:tabs>
      <w:ind w:left="1037" w:hanging="357"/>
    </w:pPr>
  </w:style>
  <w:style w:type="paragraph" w:styleId="ListBullet4">
    <w:name w:val="List Bullet 4"/>
    <w:basedOn w:val="List4"/>
    <w:rsid w:val="00821A71"/>
    <w:pPr>
      <w:numPr>
        <w:numId w:val="2"/>
      </w:numPr>
      <w:tabs>
        <w:tab w:val="clear" w:pos="1361"/>
      </w:tabs>
    </w:pPr>
  </w:style>
  <w:style w:type="paragraph" w:styleId="ListBullet5">
    <w:name w:val="List Bullet 5"/>
    <w:basedOn w:val="List5"/>
    <w:rsid w:val="00821A71"/>
    <w:pPr>
      <w:numPr>
        <w:numId w:val="3"/>
      </w:numPr>
    </w:pPr>
  </w:style>
  <w:style w:type="paragraph" w:styleId="ListContinue2">
    <w:name w:val="List Continue 2"/>
    <w:basedOn w:val="List2"/>
    <w:rsid w:val="00821A71"/>
    <w:pPr>
      <w:ind w:firstLine="0"/>
    </w:pPr>
  </w:style>
  <w:style w:type="paragraph" w:styleId="ListContinue3">
    <w:name w:val="List Continue 3"/>
    <w:basedOn w:val="List3"/>
    <w:rsid w:val="00821A71"/>
    <w:pPr>
      <w:ind w:left="1021" w:firstLine="0"/>
    </w:pPr>
  </w:style>
  <w:style w:type="paragraph" w:styleId="ListContinue4">
    <w:name w:val="List Continue 4"/>
    <w:basedOn w:val="List4"/>
    <w:rsid w:val="00821A71"/>
    <w:pPr>
      <w:ind w:firstLine="0"/>
    </w:pPr>
  </w:style>
  <w:style w:type="paragraph" w:styleId="ListContinue5">
    <w:name w:val="List Continue 5"/>
    <w:basedOn w:val="List5"/>
    <w:rsid w:val="00821A71"/>
    <w:pPr>
      <w:ind w:firstLine="0"/>
    </w:pPr>
  </w:style>
  <w:style w:type="paragraph" w:styleId="ListNumber3">
    <w:name w:val="List Number 3"/>
    <w:basedOn w:val="List3"/>
    <w:rsid w:val="00821A71"/>
    <w:pPr>
      <w:numPr>
        <w:numId w:val="4"/>
      </w:numPr>
    </w:pPr>
  </w:style>
  <w:style w:type="paragraph" w:styleId="ListNumber4">
    <w:name w:val="List Number 4"/>
    <w:basedOn w:val="List4"/>
    <w:rsid w:val="00821A71"/>
    <w:pPr>
      <w:numPr>
        <w:numId w:val="5"/>
      </w:numPr>
    </w:pPr>
  </w:style>
  <w:style w:type="paragraph" w:styleId="ListNumber5">
    <w:name w:val="List Number 5"/>
    <w:basedOn w:val="List5"/>
    <w:rsid w:val="00821A71"/>
    <w:pPr>
      <w:numPr>
        <w:numId w:val="6"/>
      </w:numPr>
    </w:pPr>
  </w:style>
  <w:style w:type="paragraph" w:styleId="BlockText">
    <w:name w:val="Block Text"/>
    <w:basedOn w:val="Normal"/>
    <w:rsid w:val="00821A71"/>
    <w:pPr>
      <w:spacing w:after="120"/>
      <w:ind w:left="1440" w:right="1440"/>
    </w:pPr>
  </w:style>
  <w:style w:type="character" w:customStyle="1" w:styleId="Subscript">
    <w:name w:val="Subscript"/>
    <w:basedOn w:val="DefaultParagraphFont"/>
    <w:rsid w:val="00821A71"/>
    <w:rPr>
      <w:sz w:val="16"/>
      <w:vertAlign w:val="subscript"/>
    </w:rPr>
  </w:style>
  <w:style w:type="character" w:customStyle="1" w:styleId="Superscript">
    <w:name w:val="Superscript"/>
    <w:basedOn w:val="DefaultParagraphFont"/>
    <w:rsid w:val="00821A71"/>
    <w:rPr>
      <w:sz w:val="16"/>
      <w:vertAlign w:val="superscript"/>
    </w:rPr>
  </w:style>
  <w:style w:type="character" w:customStyle="1" w:styleId="Symbols">
    <w:name w:val="Symbols"/>
    <w:basedOn w:val="DefaultParagraphFont"/>
    <w:rsid w:val="00821A71"/>
    <w:rPr>
      <w:rFonts w:ascii="Symbol" w:hAnsi="Symbol"/>
    </w:rPr>
  </w:style>
  <w:style w:type="character" w:customStyle="1" w:styleId="MenuOptions">
    <w:name w:val="Menu Options"/>
    <w:basedOn w:val="DefaultParagraphFont"/>
    <w:rsid w:val="00821A71"/>
    <w:rPr>
      <w:rFonts w:ascii="Arial Narrow" w:hAnsi="Arial Narrow"/>
      <w:smallCaps/>
    </w:rPr>
  </w:style>
  <w:style w:type="character" w:customStyle="1" w:styleId="Buttons">
    <w:name w:val="Buttons"/>
    <w:basedOn w:val="DefaultParagraphFont"/>
    <w:rsid w:val="00821A71"/>
    <w:rPr>
      <w:b/>
    </w:rPr>
  </w:style>
  <w:style w:type="character" w:customStyle="1" w:styleId="Underlined">
    <w:name w:val="Underlined"/>
    <w:basedOn w:val="DefaultParagraphFont"/>
    <w:rsid w:val="00821A71"/>
    <w:rPr>
      <w:u w:val="single"/>
    </w:rPr>
  </w:style>
  <w:style w:type="paragraph" w:customStyle="1" w:styleId="TableBodyTextRight">
    <w:name w:val="Table Body Text Right"/>
    <w:basedOn w:val="TableBodyText"/>
    <w:rsid w:val="00821A71"/>
    <w:pPr>
      <w:widowControl w:val="0"/>
      <w:autoSpaceDE w:val="0"/>
      <w:autoSpaceDN w:val="0"/>
      <w:adjustRightInd w:val="0"/>
      <w:jc w:val="right"/>
    </w:pPr>
    <w:rPr>
      <w:rFonts w:cs="Arial"/>
      <w:szCs w:val="18"/>
    </w:rPr>
  </w:style>
  <w:style w:type="paragraph" w:customStyle="1" w:styleId="CopyrightText">
    <w:name w:val="Copyright Text"/>
    <w:basedOn w:val="BodyText"/>
    <w:rsid w:val="00821A71"/>
    <w:rPr>
      <w:sz w:val="18"/>
    </w:rPr>
  </w:style>
  <w:style w:type="paragraph" w:customStyle="1" w:styleId="BodySmallRight">
    <w:name w:val="Body Small Right"/>
    <w:basedOn w:val="BodyTextRight"/>
    <w:rsid w:val="00821A71"/>
    <w:rPr>
      <w:sz w:val="18"/>
      <w:szCs w:val="18"/>
    </w:rPr>
  </w:style>
  <w:style w:type="paragraph" w:customStyle="1" w:styleId="MarginEdition">
    <w:name w:val="Margin Edition"/>
    <w:basedOn w:val="MarginNote"/>
    <w:rsid w:val="00821A71"/>
    <w:pPr>
      <w:spacing w:before="0" w:after="0"/>
    </w:pPr>
    <w:rPr>
      <w:rFonts w:ascii="Times New Roman" w:hAnsi="Times New Roman"/>
      <w:color w:val="999999"/>
    </w:rPr>
  </w:style>
  <w:style w:type="paragraph" w:customStyle="1" w:styleId="Spacer">
    <w:name w:val="Spacer"/>
    <w:basedOn w:val="Normal"/>
    <w:rsid w:val="00821A71"/>
    <w:rPr>
      <w:sz w:val="2"/>
      <w:szCs w:val="2"/>
    </w:rPr>
  </w:style>
  <w:style w:type="character" w:customStyle="1" w:styleId="Small">
    <w:name w:val="Small"/>
    <w:basedOn w:val="DefaultParagraphFont"/>
    <w:rsid w:val="00821A71"/>
    <w:rPr>
      <w:sz w:val="16"/>
    </w:rPr>
  </w:style>
  <w:style w:type="paragraph" w:customStyle="1" w:styleId="WideTable">
    <w:name w:val="Wide Table"/>
    <w:basedOn w:val="Normal"/>
    <w:rsid w:val="00821A71"/>
    <w:pPr>
      <w:ind w:left="-1418"/>
    </w:pPr>
    <w:rPr>
      <w:sz w:val="2"/>
      <w:szCs w:val="2"/>
    </w:rPr>
  </w:style>
  <w:style w:type="character" w:styleId="PageNumber">
    <w:name w:val="page number"/>
    <w:basedOn w:val="DefaultParagraphFont"/>
    <w:rsid w:val="00821A71"/>
  </w:style>
  <w:style w:type="paragraph" w:styleId="Quote">
    <w:name w:val="Quote"/>
    <w:basedOn w:val="Heading1"/>
    <w:link w:val="QuoteChar"/>
    <w:qFormat/>
    <w:rsid w:val="00821A71"/>
    <w:rPr>
      <w:b w:val="0"/>
      <w:sz w:val="72"/>
      <w:szCs w:val="72"/>
      <w:lang w:val="en-NZ"/>
    </w:rPr>
  </w:style>
  <w:style w:type="character" w:customStyle="1" w:styleId="QuoteChar">
    <w:name w:val="Quote Char"/>
    <w:basedOn w:val="DefaultParagraphFont"/>
    <w:link w:val="Quote"/>
    <w:rsid w:val="00821A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1A71"/>
    <w:pPr>
      <w:pageBreakBefore/>
    </w:pPr>
  </w:style>
  <w:style w:type="paragraph" w:customStyle="1" w:styleId="Border">
    <w:name w:val="Border"/>
    <w:basedOn w:val="Normal"/>
    <w:qFormat/>
    <w:rsid w:val="00821A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1A71"/>
    <w:rPr>
      <w:b/>
      <w:bCs/>
      <w:i/>
      <w:iCs/>
      <w:color w:val="auto"/>
    </w:rPr>
  </w:style>
  <w:style w:type="paragraph" w:styleId="IntenseQuote">
    <w:name w:val="Intense Quote"/>
    <w:basedOn w:val="Normal"/>
    <w:next w:val="Normal"/>
    <w:link w:val="IntenseQuoteChar"/>
    <w:uiPriority w:val="30"/>
    <w:qFormat/>
    <w:rsid w:val="00821A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1A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1A71"/>
    <w:rPr>
      <w:smallCaps/>
      <w:color w:val="auto"/>
      <w:u w:val="single"/>
    </w:rPr>
  </w:style>
  <w:style w:type="character" w:styleId="IntenseReference">
    <w:name w:val="Intense Reference"/>
    <w:basedOn w:val="DefaultParagraphFont"/>
    <w:uiPriority w:val="32"/>
    <w:qFormat/>
    <w:rsid w:val="00821A71"/>
    <w:rPr>
      <w:b/>
      <w:bCs/>
      <w:smallCaps/>
      <w:color w:val="auto"/>
      <w:spacing w:val="5"/>
      <w:u w:val="single"/>
    </w:rPr>
  </w:style>
  <w:style w:type="paragraph" w:customStyle="1" w:styleId="2ColumnHeading">
    <w:name w:val="2Column Heading"/>
    <w:basedOn w:val="BodyText"/>
    <w:qFormat/>
    <w:rsid w:val="00821A71"/>
    <w:pPr>
      <w:spacing w:after="60"/>
      <w:ind w:left="-2268"/>
    </w:pPr>
    <w:rPr>
      <w:b/>
    </w:rPr>
  </w:style>
  <w:style w:type="paragraph" w:customStyle="1" w:styleId="Heading1TOC">
    <w:name w:val="Heading1 TOC"/>
    <w:basedOn w:val="Normal"/>
    <w:qFormat/>
    <w:rsid w:val="00821A71"/>
    <w:pPr>
      <w:spacing w:before="240" w:after="120"/>
    </w:pPr>
    <w:rPr>
      <w:rFonts w:ascii="Times New Roman" w:hAnsi="Times New Roman"/>
      <w:b/>
      <w:sz w:val="32"/>
    </w:rPr>
  </w:style>
  <w:style w:type="paragraph" w:customStyle="1" w:styleId="Heading2TOC">
    <w:name w:val="Heading2 TOC"/>
    <w:basedOn w:val="Normal"/>
    <w:qFormat/>
    <w:rsid w:val="00821A71"/>
    <w:pPr>
      <w:spacing w:before="240" w:after="60"/>
    </w:pPr>
    <w:rPr>
      <w:rFonts w:ascii="Times New Roman" w:hAnsi="Times New Roman"/>
      <w:b/>
      <w:sz w:val="28"/>
    </w:rPr>
  </w:style>
  <w:style w:type="character" w:customStyle="1" w:styleId="Underline">
    <w:name w:val="Underline"/>
    <w:basedOn w:val="DefaultParagraphFont"/>
    <w:qFormat/>
    <w:rsid w:val="00821A71"/>
    <w:rPr>
      <w:u w:val="single"/>
    </w:rPr>
  </w:style>
  <w:style w:type="character" w:customStyle="1" w:styleId="BoldandItalics">
    <w:name w:val="Bold and Italics"/>
    <w:qFormat/>
    <w:rsid w:val="00821A71"/>
    <w:rPr>
      <w:b/>
      <w:i/>
      <w:u w:val="none"/>
    </w:rPr>
  </w:style>
  <w:style w:type="paragraph" w:styleId="BalloonText">
    <w:name w:val="Balloon Text"/>
    <w:basedOn w:val="Normal"/>
    <w:link w:val="BalloonTextChar"/>
    <w:rsid w:val="00821A71"/>
    <w:rPr>
      <w:rFonts w:ascii="Tahoma" w:hAnsi="Tahoma" w:cs="Tahoma"/>
      <w:sz w:val="16"/>
      <w:szCs w:val="16"/>
    </w:rPr>
  </w:style>
  <w:style w:type="character" w:customStyle="1" w:styleId="BalloonTextChar">
    <w:name w:val="Balloon Text Char"/>
    <w:basedOn w:val="DefaultParagraphFont"/>
    <w:link w:val="BalloonText"/>
    <w:rsid w:val="00821A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1A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1A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1A71"/>
    <w:rPr>
      <w:b/>
      <w:color w:val="660033"/>
      <w:spacing w:val="0"/>
    </w:rPr>
  </w:style>
  <w:style w:type="paragraph" w:customStyle="1" w:styleId="Nameditemlist">
    <w:name w:val="Named item list"/>
    <w:basedOn w:val="BodyText"/>
    <w:qFormat/>
    <w:rsid w:val="00821A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5485</Characters>
  <Application>Microsoft Office Word</Application>
  <DocSecurity>0</DocSecurity>
  <Lines>253</Lines>
  <Paragraphs>137</Paragraphs>
  <ScaleCrop>false</ScaleCrop>
  <Company>Author-it Software Corporation Ltd.</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MSFFL3014 Install resilient floor coverings using custom designs and decorative finishes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2016-12-09T03:34:00Z</dcterms:created>
  <dcterms:modified xsi:type="dcterms:W3CDTF">2016-12-09T03:34:00Z</dcterms:modified>
</cp:coreProperties>
</file>