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6BD0" w:rsidP="00716BD0">
      <w:pPr>
        <w:pStyle w:val="Title"/>
      </w:pPr>
      <w:r>
        <w:fldChar w:fldCharType="begin"/>
      </w:r>
      <w:r>
        <w:instrText xml:space="preserve"> TITLE   \* MERGEFORMAT </w:instrText>
      </w:r>
      <w:r>
        <w:fldChar w:fldCharType="separate"/>
      </w:r>
      <w:r>
        <w:t>MSFFL3012 Install linoleum floor coverings</w:t>
      </w:r>
      <w:r>
        <w:fldChar w:fldCharType="end"/>
      </w:r>
    </w:p>
    <w:p w:rsidR="00716BD0" w:rsidP="00716BD0">
      <w:pPr>
        <w:pStyle w:val="Version"/>
        <w:sectPr w:rsidSect="00C81B5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1B55" w:rsidP="00C81B55">
      <w:pPr>
        <w:pStyle w:val="SuperHeading"/>
      </w:pPr>
      <w:r w:rsidRPr="00C81B55">
        <w:t>MSFFL3012 Install linoleum floor coverings</w:t>
      </w:r>
    </w:p>
    <w:p w:rsidR="00000000" w:rsidRPr="00C81B55" w:rsidP="00C81B55">
      <w:pPr>
        <w:pStyle w:val="Heading1"/>
      </w:pPr>
      <w:bookmarkStart w:id="1" w:name="O_635788"/>
      <w:bookmarkEnd w:id="1"/>
      <w:r w:rsidRPr="00C81B55">
        <w:t>Modification History</w:t>
      </w:r>
    </w:p>
    <w:p w:rsidR="00000000" w:rsidRPr="00C81B55" w:rsidP="00C81B55">
      <w:pPr>
        <w:pStyle w:val="BodyText"/>
      </w:pPr>
      <w:r w:rsidRPr="00C81B55">
        <w:t>Release 1 - New unit of competency</w:t>
      </w:r>
    </w:p>
    <w:p w:rsidR="00000000" w:rsidRPr="00C81B55" w:rsidP="00C81B55">
      <w:pPr>
        <w:pStyle w:val="AllowPageBreak"/>
      </w:pPr>
    </w:p>
    <w:p w:rsidR="00000000" w:rsidRPr="00C81B55" w:rsidP="00C81B55">
      <w:pPr>
        <w:pStyle w:val="Heading1"/>
      </w:pPr>
      <w:bookmarkStart w:id="2" w:name="O_635796"/>
      <w:bookmarkEnd w:id="2"/>
      <w:r w:rsidRPr="00C81B55">
        <w:t>Application</w:t>
      </w:r>
    </w:p>
    <w:p w:rsidR="00000000" w:rsidRPr="00C81B55" w:rsidP="00C81B55">
      <w:pPr>
        <w:pStyle w:val="BodyText"/>
      </w:pPr>
      <w:r w:rsidRPr="00C81B55">
        <w:t>This unit of competency covers installing linoleum floor coverings to domestic and commercial installations using templating and scribing methods.</w:t>
      </w:r>
    </w:p>
    <w:p w:rsidR="00000000" w:rsidRPr="00C81B55" w:rsidP="00C81B55">
      <w:pPr>
        <w:pStyle w:val="BodyText"/>
      </w:pPr>
    </w:p>
    <w:p w:rsidR="00000000" w:rsidRPr="00C81B55" w:rsidP="00C81B55">
      <w:pPr>
        <w:pStyle w:val="BodyText"/>
      </w:pPr>
      <w:r w:rsidRPr="00C81B55">
        <w:t xml:space="preserve">Licensing, legislative </w:t>
      </w:r>
      <w:r w:rsidRPr="00C81B55">
        <w:t>or certification requirements may apply to this unit and relevant state/territory and local government agencies should be consulted to determine any necessary certification or licensing for undertaking flooring work. Access to construction sites requires c</w:t>
      </w:r>
      <w:r w:rsidRPr="00C81B55">
        <w:t>ertification of general induction training specified by the National Code of Practice for Induction for Construction Work (ASCC 2007).</w:t>
      </w:r>
    </w:p>
    <w:p w:rsidR="00000000" w:rsidRPr="00C81B55" w:rsidP="00C81B55">
      <w:pPr>
        <w:pStyle w:val="AllowPageBreak"/>
      </w:pPr>
    </w:p>
    <w:p w:rsidR="00000000" w:rsidRPr="00C81B55" w:rsidP="00C81B55">
      <w:pPr>
        <w:pStyle w:val="Heading1"/>
      </w:pPr>
      <w:bookmarkStart w:id="3" w:name="O_635795"/>
      <w:bookmarkEnd w:id="3"/>
      <w:r w:rsidRPr="00C81B55">
        <w:t>Pre-requisite Unit</w:t>
      </w:r>
    </w:p>
    <w:p w:rsidR="00000000" w:rsidRPr="00C81B55" w:rsidP="00C81B55">
      <w:pPr>
        <w:pStyle w:val="Heading1"/>
      </w:pPr>
      <w:bookmarkStart w:id="4" w:name="O_635794"/>
      <w:bookmarkEnd w:id="4"/>
      <w:r w:rsidRPr="00C81B55">
        <w:t>Competency Field</w:t>
      </w:r>
    </w:p>
    <w:p w:rsidR="00000000" w:rsidRPr="00C81B55" w:rsidP="00C81B55">
      <w:pPr>
        <w:pStyle w:val="Heading1"/>
      </w:pPr>
      <w:bookmarkStart w:id="5" w:name="O_635793"/>
      <w:bookmarkEnd w:id="5"/>
      <w:r w:rsidRPr="00C81B55">
        <w:t>Unit Sector</w:t>
      </w:r>
    </w:p>
    <w:p w:rsidR="00000000" w:rsidRPr="00C81B55" w:rsidP="00C81B55">
      <w:pPr>
        <w:pStyle w:val="BodyText"/>
      </w:pPr>
      <w:r w:rsidRPr="00C81B55">
        <w:t>Flooring technology</w:t>
      </w:r>
    </w:p>
    <w:p w:rsidR="00000000" w:rsidRPr="00C81B55" w:rsidP="00C81B55">
      <w:pPr>
        <w:pStyle w:val="AllowPageBreak"/>
      </w:pPr>
    </w:p>
    <w:p w:rsidR="00000000" w:rsidRPr="00C81B55" w:rsidP="00C81B55">
      <w:pPr>
        <w:pStyle w:val="Heading1"/>
      </w:pPr>
      <w:bookmarkStart w:id="6" w:name="O_635792"/>
      <w:bookmarkEnd w:id="6"/>
      <w:r w:rsidRPr="00C81B5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81B5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81B55">
            <w:pPr>
              <w:pStyle w:val="BodyText"/>
              <w:rPr>
                <w:lang w:val="en-NZ"/>
              </w:rPr>
            </w:pPr>
            <w:r w:rsidRPr="00C81B55">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81B55">
            <w:pPr>
              <w:pStyle w:val="BodyText"/>
              <w:rPr>
                <w:lang w:val="en-NZ"/>
              </w:rPr>
            </w:pPr>
            <w:r w:rsidRPr="00C81B55">
              <w:t>Performance criteria describe the performance needed to demonstrate achievement of the element.</w:t>
            </w:r>
          </w:p>
        </w:tc>
      </w:tr>
      <w:tr w:rsidTr="00C81B55">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C81B55">
            <w:pPr>
              <w:pStyle w:val="BodyText"/>
              <w:rPr>
                <w:lang w:val="en-NZ"/>
              </w:rPr>
            </w:pPr>
            <w:r w:rsidRPr="00C81B55">
              <w:t>1</w:t>
            </w:r>
          </w:p>
        </w:tc>
        <w:tc>
          <w:tcPr>
            <w:tcW w:w="1962" w:type="dxa"/>
            <w:vMerge w:val="restart"/>
            <w:tcBorders>
              <w:top w:val="nil"/>
              <w:left w:val="nil"/>
              <w:bottom w:val="nil"/>
              <w:right w:val="nil"/>
            </w:tcBorders>
            <w:tcMar>
              <w:top w:w="0" w:type="dxa"/>
              <w:left w:w="62" w:type="dxa"/>
              <w:bottom w:w="0" w:type="dxa"/>
              <w:right w:w="62" w:type="dxa"/>
            </w:tcMar>
          </w:tcPr>
          <w:p w:rsidR="00000000" w:rsidP="00C81B55">
            <w:pPr>
              <w:pStyle w:val="BodyText"/>
              <w:rPr>
                <w:lang w:val="en-NZ"/>
              </w:rPr>
            </w:pPr>
            <w:r w:rsidRPr="00C81B55">
              <w:t>Prepare for installation</w:t>
            </w:r>
          </w:p>
        </w:tc>
        <w:tc>
          <w:tcPr>
            <w:tcW w:w="770" w:type="dxa"/>
            <w:tcBorders>
              <w:top w:val="nil"/>
              <w:left w:val="nil"/>
              <w:bottom w:val="nil"/>
              <w:right w:val="nil"/>
            </w:tcBorders>
            <w:tcMar>
              <w:top w:w="0" w:type="dxa"/>
              <w:left w:w="62" w:type="dxa"/>
              <w:bottom w:w="0" w:type="dxa"/>
              <w:right w:w="62" w:type="dxa"/>
            </w:tcMar>
          </w:tcPr>
          <w:p w:rsidR="00000000" w:rsidP="00C81B55">
            <w:pPr>
              <w:pStyle w:val="BodyText"/>
              <w:rPr>
                <w:lang w:val="en-NZ"/>
              </w:rPr>
            </w:pPr>
            <w:r w:rsidRPr="00C81B55">
              <w:t>1.1</w:t>
            </w:r>
          </w:p>
        </w:tc>
        <w:tc>
          <w:tcPr>
            <w:tcW w:w="5610" w:type="dxa"/>
            <w:tcBorders>
              <w:top w:val="nil"/>
              <w:left w:val="nil"/>
              <w:bottom w:val="nil"/>
              <w:right w:val="nil"/>
            </w:tcBorders>
            <w:tcMar>
              <w:top w:w="0" w:type="dxa"/>
              <w:left w:w="62" w:type="dxa"/>
              <w:bottom w:w="0" w:type="dxa"/>
              <w:right w:w="62" w:type="dxa"/>
            </w:tcMar>
          </w:tcPr>
          <w:p w:rsidR="00000000" w:rsidP="00C81B55">
            <w:pPr>
              <w:pStyle w:val="BodyText"/>
              <w:rPr>
                <w:lang w:val="en-NZ"/>
              </w:rPr>
            </w:pPr>
            <w:r w:rsidRPr="00C81B55">
              <w:t>Applicable work health and safety (WHS), legislative and organisational requirements relevant to installing linoleum floor coverings are verified and complied with</w:t>
            </w:r>
          </w:p>
        </w:tc>
      </w:tr>
      <w:tr w:rsidTr="00C81B5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1B55">
            <w:pPr>
              <w:pStyle w:val="BodyText"/>
              <w:rPr>
                <w:lang w:val="en-NZ"/>
              </w:rPr>
            </w:pPr>
            <w:r w:rsidRPr="00C81B55">
              <w:t>1.2</w:t>
            </w:r>
          </w:p>
        </w:tc>
        <w:tc>
          <w:tcPr>
            <w:tcW w:w="5610" w:type="dxa"/>
            <w:tcBorders>
              <w:top w:val="nil"/>
              <w:left w:val="nil"/>
              <w:bottom w:val="nil"/>
              <w:right w:val="nil"/>
            </w:tcBorders>
            <w:tcMar>
              <w:top w:w="0" w:type="dxa"/>
              <w:left w:w="62" w:type="dxa"/>
              <w:bottom w:w="0" w:type="dxa"/>
              <w:right w:w="62" w:type="dxa"/>
            </w:tcMar>
          </w:tcPr>
          <w:p w:rsidR="00000000" w:rsidP="00C81B55">
            <w:pPr>
              <w:pStyle w:val="BodyText"/>
              <w:rPr>
                <w:lang w:val="en-NZ"/>
              </w:rPr>
            </w:pPr>
            <w:r w:rsidRPr="00C81B55">
              <w:t>Instructions and/or plans are read and interpreted to identify process required to co</w:t>
            </w:r>
            <w:r w:rsidRPr="00C81B55">
              <w:t>mplete work tasks</w:t>
            </w:r>
          </w:p>
        </w:tc>
      </w:tr>
      <w:tr w:rsidTr="00C81B5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1B55">
            <w:pPr>
              <w:pStyle w:val="BodyText"/>
              <w:rPr>
                <w:lang w:val="en-NZ"/>
              </w:rPr>
            </w:pPr>
            <w:r w:rsidRPr="00C81B55">
              <w:t>1.3</w:t>
            </w:r>
          </w:p>
        </w:tc>
        <w:tc>
          <w:tcPr>
            <w:tcW w:w="5610" w:type="dxa"/>
            <w:tcBorders>
              <w:top w:val="nil"/>
              <w:left w:val="nil"/>
              <w:bottom w:val="nil"/>
              <w:right w:val="nil"/>
            </w:tcBorders>
            <w:tcMar>
              <w:top w:w="0" w:type="dxa"/>
              <w:left w:w="62" w:type="dxa"/>
              <w:bottom w:w="0" w:type="dxa"/>
              <w:right w:w="62" w:type="dxa"/>
            </w:tcMar>
          </w:tcPr>
          <w:p w:rsidR="00000000" w:rsidP="00C81B55">
            <w:pPr>
              <w:pStyle w:val="BodyText"/>
              <w:rPr>
                <w:lang w:val="en-NZ"/>
              </w:rPr>
            </w:pPr>
            <w:r w:rsidRPr="00C81B55">
              <w:t>Sub-floor condition is assessed for suitability for installation of linoleum floor coverings</w:t>
            </w:r>
          </w:p>
        </w:tc>
      </w:tr>
      <w:tr w:rsidTr="00C81B5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1B55">
            <w:pPr>
              <w:pStyle w:val="BodyText"/>
              <w:rPr>
                <w:lang w:val="en-NZ"/>
              </w:rPr>
            </w:pPr>
            <w:r w:rsidRPr="00C81B55">
              <w:t>1.4</w:t>
            </w:r>
          </w:p>
        </w:tc>
        <w:tc>
          <w:tcPr>
            <w:tcW w:w="5610" w:type="dxa"/>
            <w:tcBorders>
              <w:top w:val="nil"/>
              <w:left w:val="nil"/>
              <w:bottom w:val="nil"/>
              <w:right w:val="nil"/>
            </w:tcBorders>
            <w:tcMar>
              <w:top w:w="0" w:type="dxa"/>
              <w:left w:w="62" w:type="dxa"/>
              <w:bottom w:w="0" w:type="dxa"/>
              <w:right w:w="62" w:type="dxa"/>
            </w:tcMar>
          </w:tcPr>
          <w:p w:rsidR="00000000" w:rsidP="00C81B55">
            <w:pPr>
              <w:pStyle w:val="BodyText"/>
              <w:rPr>
                <w:lang w:val="en-NZ"/>
              </w:rPr>
            </w:pPr>
            <w:r w:rsidRPr="00C81B55">
              <w:t>Suitable adhesives, trims and accessories are selected</w:t>
            </w:r>
          </w:p>
        </w:tc>
      </w:tr>
      <w:tr w:rsidTr="00C81B5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1B55">
            <w:pPr>
              <w:pStyle w:val="BodyText"/>
              <w:rPr>
                <w:lang w:val="en-NZ"/>
              </w:rPr>
            </w:pPr>
            <w:r w:rsidRPr="00C81B55">
              <w:t>1.5</w:t>
            </w:r>
          </w:p>
        </w:tc>
        <w:tc>
          <w:tcPr>
            <w:tcW w:w="5610" w:type="dxa"/>
            <w:tcBorders>
              <w:top w:val="nil"/>
              <w:left w:val="nil"/>
              <w:bottom w:val="nil"/>
              <w:right w:val="nil"/>
            </w:tcBorders>
            <w:tcMar>
              <w:top w:w="0" w:type="dxa"/>
              <w:left w:w="62" w:type="dxa"/>
              <w:bottom w:w="0" w:type="dxa"/>
              <w:right w:w="62" w:type="dxa"/>
            </w:tcMar>
          </w:tcPr>
          <w:p w:rsidR="00000000" w:rsidP="00C81B55">
            <w:pPr>
              <w:pStyle w:val="BodyText"/>
              <w:rPr>
                <w:lang w:val="en-NZ"/>
              </w:rPr>
            </w:pPr>
            <w:r w:rsidRPr="00C81B55">
              <w:t>To</w:t>
            </w:r>
            <w:r w:rsidRPr="00C81B55">
              <w:t xml:space="preserve">ols, equipment and materials are selected and checked prior to use to ensure that they are appropriate for the </w:t>
            </w:r>
            <w:r w:rsidRPr="00C81B55">
              <w:t>work, serviceable and in a safe condition</w:t>
            </w:r>
          </w:p>
        </w:tc>
      </w:tr>
      <w:tr w:rsidTr="00C81B5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1B55">
            <w:pPr>
              <w:pStyle w:val="BodyText"/>
              <w:rPr>
                <w:lang w:val="en-NZ"/>
              </w:rPr>
            </w:pPr>
            <w:r w:rsidRPr="00C81B55">
              <w:t>1.6</w:t>
            </w:r>
          </w:p>
        </w:tc>
        <w:tc>
          <w:tcPr>
            <w:tcW w:w="5610" w:type="dxa"/>
            <w:tcBorders>
              <w:top w:val="nil"/>
              <w:left w:val="nil"/>
              <w:bottom w:val="nil"/>
              <w:right w:val="nil"/>
            </w:tcBorders>
            <w:tcMar>
              <w:top w:w="0" w:type="dxa"/>
              <w:left w:w="62" w:type="dxa"/>
              <w:bottom w:w="0" w:type="dxa"/>
              <w:right w:w="62" w:type="dxa"/>
            </w:tcMar>
          </w:tcPr>
          <w:p w:rsidR="00000000" w:rsidP="00C81B55">
            <w:pPr>
              <w:pStyle w:val="BodyText"/>
              <w:rPr>
                <w:lang w:val="en-NZ"/>
              </w:rPr>
            </w:pPr>
            <w:r w:rsidRPr="00C81B55">
              <w:t>Sequence of work is planned, including the starting point, to ensure efficiency and quality of i</w:t>
            </w:r>
            <w:r w:rsidRPr="00C81B55">
              <w:t>nstallation</w:t>
            </w:r>
          </w:p>
        </w:tc>
      </w:tr>
      <w:tr w:rsidTr="00C81B55">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C81B55">
            <w:pPr>
              <w:pStyle w:val="BodyText"/>
              <w:rPr>
                <w:lang w:val="en-NZ"/>
              </w:rPr>
            </w:pPr>
            <w:r w:rsidRPr="00C81B55">
              <w:t>2</w:t>
            </w:r>
          </w:p>
        </w:tc>
        <w:tc>
          <w:tcPr>
            <w:tcW w:w="1962" w:type="dxa"/>
            <w:vMerge w:val="restart"/>
            <w:tcBorders>
              <w:top w:val="nil"/>
              <w:left w:val="nil"/>
              <w:bottom w:val="nil"/>
              <w:right w:val="nil"/>
            </w:tcBorders>
            <w:tcMar>
              <w:top w:w="0" w:type="dxa"/>
              <w:left w:w="62" w:type="dxa"/>
              <w:bottom w:w="0" w:type="dxa"/>
              <w:right w:w="62" w:type="dxa"/>
            </w:tcMar>
          </w:tcPr>
          <w:p w:rsidR="00000000" w:rsidP="00C81B55">
            <w:pPr>
              <w:pStyle w:val="BodyText"/>
              <w:rPr>
                <w:lang w:val="en-NZ"/>
              </w:rPr>
            </w:pPr>
            <w:r w:rsidRPr="00C81B55">
              <w:t>Set out materials</w:t>
            </w:r>
          </w:p>
        </w:tc>
        <w:tc>
          <w:tcPr>
            <w:tcW w:w="770" w:type="dxa"/>
            <w:tcBorders>
              <w:top w:val="nil"/>
              <w:left w:val="nil"/>
              <w:bottom w:val="nil"/>
              <w:right w:val="nil"/>
            </w:tcBorders>
            <w:tcMar>
              <w:top w:w="0" w:type="dxa"/>
              <w:left w:w="62" w:type="dxa"/>
              <w:bottom w:w="0" w:type="dxa"/>
              <w:right w:w="62" w:type="dxa"/>
            </w:tcMar>
          </w:tcPr>
          <w:p w:rsidR="00000000" w:rsidP="00C81B55">
            <w:pPr>
              <w:pStyle w:val="BodyText"/>
              <w:rPr>
                <w:lang w:val="en-NZ"/>
              </w:rPr>
            </w:pPr>
            <w:r w:rsidRPr="00C81B55">
              <w:t>2.1</w:t>
            </w:r>
          </w:p>
        </w:tc>
        <w:tc>
          <w:tcPr>
            <w:tcW w:w="5610" w:type="dxa"/>
            <w:tcBorders>
              <w:top w:val="nil"/>
              <w:left w:val="nil"/>
              <w:bottom w:val="nil"/>
              <w:right w:val="nil"/>
            </w:tcBorders>
            <w:tcMar>
              <w:top w:w="0" w:type="dxa"/>
              <w:left w:w="62" w:type="dxa"/>
              <w:bottom w:w="0" w:type="dxa"/>
              <w:right w:w="62" w:type="dxa"/>
            </w:tcMar>
          </w:tcPr>
          <w:p w:rsidR="00000000" w:rsidP="00C81B55">
            <w:pPr>
              <w:pStyle w:val="BodyText"/>
              <w:rPr>
                <w:lang w:val="en-NZ"/>
              </w:rPr>
            </w:pPr>
            <w:r w:rsidRPr="00C81B55">
              <w:t>Linoleum to be installed is checked against work order</w:t>
            </w:r>
          </w:p>
        </w:tc>
      </w:tr>
      <w:tr w:rsidTr="00C81B5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1B55">
            <w:pPr>
              <w:pStyle w:val="BodyText"/>
              <w:rPr>
                <w:lang w:val="en-NZ"/>
              </w:rPr>
            </w:pPr>
            <w:r w:rsidRPr="00C81B55">
              <w:t>2.2</w:t>
            </w:r>
          </w:p>
        </w:tc>
        <w:tc>
          <w:tcPr>
            <w:tcW w:w="5610" w:type="dxa"/>
            <w:tcBorders>
              <w:top w:val="nil"/>
              <w:left w:val="nil"/>
              <w:bottom w:val="nil"/>
              <w:right w:val="nil"/>
            </w:tcBorders>
            <w:tcMar>
              <w:top w:w="0" w:type="dxa"/>
              <w:left w:w="62" w:type="dxa"/>
              <w:bottom w:w="0" w:type="dxa"/>
              <w:right w:w="62" w:type="dxa"/>
            </w:tcMar>
          </w:tcPr>
          <w:p w:rsidR="00000000" w:rsidP="00C81B55">
            <w:pPr>
              <w:pStyle w:val="BodyText"/>
              <w:rPr>
                <w:lang w:val="en-NZ"/>
              </w:rPr>
            </w:pPr>
            <w:r w:rsidRPr="00C81B55">
              <w:t>Linoleum floor coverings are acclimatised according to manufacturer recommendations</w:t>
            </w:r>
          </w:p>
        </w:tc>
      </w:tr>
      <w:tr w:rsidTr="00C81B5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1B55">
            <w:pPr>
              <w:pStyle w:val="BodyText"/>
              <w:rPr>
                <w:lang w:val="en-NZ"/>
              </w:rPr>
            </w:pPr>
            <w:r w:rsidRPr="00C81B55">
              <w:t>2.3</w:t>
            </w:r>
          </w:p>
        </w:tc>
        <w:tc>
          <w:tcPr>
            <w:tcW w:w="5610" w:type="dxa"/>
            <w:tcBorders>
              <w:top w:val="nil"/>
              <w:left w:val="nil"/>
              <w:bottom w:val="nil"/>
              <w:right w:val="nil"/>
            </w:tcBorders>
            <w:tcMar>
              <w:top w:w="0" w:type="dxa"/>
              <w:left w:w="62" w:type="dxa"/>
              <w:bottom w:w="0" w:type="dxa"/>
              <w:right w:w="62" w:type="dxa"/>
            </w:tcMar>
          </w:tcPr>
          <w:p w:rsidR="00000000" w:rsidP="00C81B55">
            <w:pPr>
              <w:pStyle w:val="BodyText"/>
              <w:rPr>
                <w:lang w:val="en-NZ"/>
              </w:rPr>
            </w:pPr>
            <w:r w:rsidRPr="00C81B55">
              <w:t>Linoleum floor coverings for fixing are organised and used in accordance with relevant safety management requirements</w:t>
            </w:r>
          </w:p>
        </w:tc>
      </w:tr>
      <w:tr w:rsidTr="00C81B5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1B55">
            <w:pPr>
              <w:pStyle w:val="BodyText"/>
              <w:rPr>
                <w:lang w:val="en-NZ"/>
              </w:rPr>
            </w:pPr>
            <w:r w:rsidRPr="00C81B55">
              <w:t>2.4</w:t>
            </w:r>
          </w:p>
        </w:tc>
        <w:tc>
          <w:tcPr>
            <w:tcW w:w="5610" w:type="dxa"/>
            <w:tcBorders>
              <w:top w:val="nil"/>
              <w:left w:val="nil"/>
              <w:bottom w:val="nil"/>
              <w:right w:val="nil"/>
            </w:tcBorders>
            <w:tcMar>
              <w:top w:w="0" w:type="dxa"/>
              <w:left w:w="62" w:type="dxa"/>
              <w:bottom w:w="0" w:type="dxa"/>
              <w:right w:w="62" w:type="dxa"/>
            </w:tcMar>
          </w:tcPr>
          <w:p w:rsidR="00000000" w:rsidP="00C81B55">
            <w:pPr>
              <w:pStyle w:val="BodyText"/>
              <w:rPr>
                <w:lang w:val="en-NZ"/>
              </w:rPr>
            </w:pPr>
            <w:r w:rsidRPr="00C81B55">
              <w:t>Working lines and starting point are established</w:t>
            </w:r>
          </w:p>
        </w:tc>
      </w:tr>
      <w:tr w:rsidTr="00C81B5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1B55">
            <w:pPr>
              <w:pStyle w:val="BodyText"/>
              <w:rPr>
                <w:lang w:val="en-NZ"/>
              </w:rPr>
            </w:pPr>
            <w:r w:rsidRPr="00C81B55">
              <w:t>2.5</w:t>
            </w:r>
          </w:p>
        </w:tc>
        <w:tc>
          <w:tcPr>
            <w:tcW w:w="5610" w:type="dxa"/>
            <w:tcBorders>
              <w:top w:val="nil"/>
              <w:left w:val="nil"/>
              <w:bottom w:val="nil"/>
              <w:right w:val="nil"/>
            </w:tcBorders>
            <w:tcMar>
              <w:top w:w="0" w:type="dxa"/>
              <w:left w:w="62" w:type="dxa"/>
              <w:bottom w:w="0" w:type="dxa"/>
              <w:right w:w="62" w:type="dxa"/>
            </w:tcMar>
          </w:tcPr>
          <w:p w:rsidR="00000000" w:rsidP="00C81B55">
            <w:pPr>
              <w:pStyle w:val="BodyText"/>
              <w:rPr>
                <w:lang w:val="en-NZ"/>
              </w:rPr>
            </w:pPr>
            <w:r w:rsidRPr="00C81B55">
              <w:t>Soft underlay, if required, is cut to specification</w:t>
            </w:r>
          </w:p>
        </w:tc>
      </w:tr>
      <w:tr w:rsidTr="00C81B5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1B55">
            <w:pPr>
              <w:pStyle w:val="BodyText"/>
              <w:rPr>
                <w:lang w:val="en-NZ"/>
              </w:rPr>
            </w:pPr>
            <w:r w:rsidRPr="00C81B55">
              <w:t>2.6</w:t>
            </w:r>
          </w:p>
        </w:tc>
        <w:tc>
          <w:tcPr>
            <w:tcW w:w="5610" w:type="dxa"/>
            <w:tcBorders>
              <w:top w:val="nil"/>
              <w:left w:val="nil"/>
              <w:bottom w:val="nil"/>
              <w:right w:val="nil"/>
            </w:tcBorders>
            <w:tcMar>
              <w:top w:w="0" w:type="dxa"/>
              <w:left w:w="62" w:type="dxa"/>
              <w:bottom w:w="0" w:type="dxa"/>
              <w:right w:w="62" w:type="dxa"/>
            </w:tcMar>
          </w:tcPr>
          <w:p w:rsidR="00000000" w:rsidP="00C81B55">
            <w:pPr>
              <w:pStyle w:val="BodyText"/>
              <w:rPr>
                <w:lang w:val="en-NZ"/>
              </w:rPr>
            </w:pPr>
            <w:r w:rsidRPr="00C81B55">
              <w:t>Pre-form fillet is set out, cut and fitted, if required</w:t>
            </w:r>
          </w:p>
        </w:tc>
      </w:tr>
      <w:tr w:rsidTr="00C81B55">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C81B55">
            <w:pPr>
              <w:pStyle w:val="BodyText"/>
              <w:rPr>
                <w:lang w:val="en-NZ"/>
              </w:rPr>
            </w:pPr>
            <w:r w:rsidRPr="00C81B55">
              <w:t>3</w:t>
            </w:r>
          </w:p>
        </w:tc>
        <w:tc>
          <w:tcPr>
            <w:tcW w:w="1962" w:type="dxa"/>
            <w:vMerge w:val="restart"/>
            <w:tcBorders>
              <w:top w:val="nil"/>
              <w:left w:val="nil"/>
              <w:bottom w:val="nil"/>
              <w:right w:val="nil"/>
            </w:tcBorders>
            <w:tcMar>
              <w:top w:w="0" w:type="dxa"/>
              <w:left w:w="62" w:type="dxa"/>
              <w:bottom w:w="0" w:type="dxa"/>
              <w:right w:w="62" w:type="dxa"/>
            </w:tcMar>
          </w:tcPr>
          <w:p w:rsidR="00000000" w:rsidP="00C81B55">
            <w:pPr>
              <w:pStyle w:val="BodyText"/>
              <w:rPr>
                <w:lang w:val="en-NZ"/>
              </w:rPr>
            </w:pPr>
            <w:r w:rsidRPr="00C81B55">
              <w:t>Cut materials</w:t>
            </w:r>
          </w:p>
        </w:tc>
        <w:tc>
          <w:tcPr>
            <w:tcW w:w="770" w:type="dxa"/>
            <w:tcBorders>
              <w:top w:val="nil"/>
              <w:left w:val="nil"/>
              <w:bottom w:val="nil"/>
              <w:right w:val="nil"/>
            </w:tcBorders>
            <w:tcMar>
              <w:top w:w="0" w:type="dxa"/>
              <w:left w:w="62" w:type="dxa"/>
              <w:bottom w:w="0" w:type="dxa"/>
              <w:right w:w="62" w:type="dxa"/>
            </w:tcMar>
          </w:tcPr>
          <w:p w:rsidR="00000000" w:rsidP="00C81B55">
            <w:pPr>
              <w:pStyle w:val="BodyText"/>
              <w:rPr>
                <w:lang w:val="en-NZ"/>
              </w:rPr>
            </w:pPr>
            <w:r w:rsidRPr="00C81B55">
              <w:t>3.1</w:t>
            </w:r>
          </w:p>
        </w:tc>
        <w:tc>
          <w:tcPr>
            <w:tcW w:w="5610" w:type="dxa"/>
            <w:tcBorders>
              <w:top w:val="nil"/>
              <w:left w:val="nil"/>
              <w:bottom w:val="nil"/>
              <w:right w:val="nil"/>
            </w:tcBorders>
            <w:tcMar>
              <w:top w:w="0" w:type="dxa"/>
              <w:left w:w="62" w:type="dxa"/>
              <w:bottom w:w="0" w:type="dxa"/>
              <w:right w:w="62" w:type="dxa"/>
            </w:tcMar>
          </w:tcPr>
          <w:p w:rsidR="00000000" w:rsidP="00C81B55">
            <w:pPr>
              <w:pStyle w:val="BodyText"/>
              <w:rPr>
                <w:lang w:val="en-NZ"/>
              </w:rPr>
            </w:pPr>
            <w:r w:rsidRPr="00C81B55">
              <w:t>Linoleum floor coverings are laid out to meet directional sequence, pattern match, specification requirements and to minimise waste and joins as appropriate</w:t>
            </w:r>
          </w:p>
        </w:tc>
      </w:tr>
      <w:tr w:rsidTr="00C81B5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1B55">
            <w:pPr>
              <w:pStyle w:val="BodyText"/>
              <w:rPr>
                <w:lang w:val="en-NZ"/>
              </w:rPr>
            </w:pPr>
            <w:r w:rsidRPr="00C81B55">
              <w:t>3.2</w:t>
            </w:r>
          </w:p>
        </w:tc>
        <w:tc>
          <w:tcPr>
            <w:tcW w:w="5610" w:type="dxa"/>
            <w:tcBorders>
              <w:top w:val="nil"/>
              <w:left w:val="nil"/>
              <w:bottom w:val="nil"/>
              <w:right w:val="nil"/>
            </w:tcBorders>
            <w:tcMar>
              <w:top w:w="0" w:type="dxa"/>
              <w:left w:w="62" w:type="dxa"/>
              <w:bottom w:w="0" w:type="dxa"/>
              <w:right w:w="62" w:type="dxa"/>
            </w:tcMar>
          </w:tcPr>
          <w:p w:rsidR="00000000" w:rsidP="00C81B55">
            <w:pPr>
              <w:pStyle w:val="BodyText"/>
              <w:rPr>
                <w:lang w:val="en-NZ"/>
              </w:rPr>
            </w:pPr>
            <w:r w:rsidRPr="00C81B55">
              <w:t>Linoleum floor coverings are accurately and clearly marked for cutting</w:t>
            </w:r>
          </w:p>
        </w:tc>
      </w:tr>
      <w:tr w:rsidTr="00C81B5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1B55">
            <w:pPr>
              <w:pStyle w:val="BodyText"/>
              <w:rPr>
                <w:lang w:val="en-NZ"/>
              </w:rPr>
            </w:pPr>
            <w:r w:rsidRPr="00C81B55">
              <w:t>3.3</w:t>
            </w:r>
          </w:p>
        </w:tc>
        <w:tc>
          <w:tcPr>
            <w:tcW w:w="5610" w:type="dxa"/>
            <w:tcBorders>
              <w:top w:val="nil"/>
              <w:left w:val="nil"/>
              <w:bottom w:val="nil"/>
              <w:right w:val="nil"/>
            </w:tcBorders>
            <w:tcMar>
              <w:top w:w="0" w:type="dxa"/>
              <w:left w:w="62" w:type="dxa"/>
              <w:bottom w:w="0" w:type="dxa"/>
              <w:right w:w="62" w:type="dxa"/>
            </w:tcMar>
          </w:tcPr>
          <w:p w:rsidR="00000000" w:rsidP="00C81B55">
            <w:pPr>
              <w:pStyle w:val="BodyText"/>
              <w:rPr>
                <w:lang w:val="en-NZ"/>
              </w:rPr>
            </w:pPr>
            <w:r w:rsidRPr="00C81B55">
              <w:t>Linoleum floor coverings are cut to required pattern and shape with minimum waste of materials</w:t>
            </w:r>
          </w:p>
        </w:tc>
      </w:tr>
      <w:tr w:rsidTr="00C81B55">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C81B55">
            <w:pPr>
              <w:pStyle w:val="BodyText"/>
              <w:rPr>
                <w:lang w:val="en-NZ"/>
              </w:rPr>
            </w:pPr>
            <w:r w:rsidRPr="00C81B55">
              <w:t>4</w:t>
            </w:r>
          </w:p>
        </w:tc>
        <w:tc>
          <w:tcPr>
            <w:tcW w:w="1962" w:type="dxa"/>
            <w:vMerge w:val="restart"/>
            <w:tcBorders>
              <w:top w:val="nil"/>
              <w:left w:val="nil"/>
              <w:bottom w:val="nil"/>
              <w:right w:val="nil"/>
            </w:tcBorders>
            <w:tcMar>
              <w:top w:w="0" w:type="dxa"/>
              <w:left w:w="62" w:type="dxa"/>
              <w:bottom w:w="0" w:type="dxa"/>
              <w:right w:w="62" w:type="dxa"/>
            </w:tcMar>
          </w:tcPr>
          <w:p w:rsidR="00000000" w:rsidP="00C81B55">
            <w:pPr>
              <w:pStyle w:val="BodyText"/>
              <w:rPr>
                <w:lang w:val="en-NZ"/>
              </w:rPr>
            </w:pPr>
            <w:r w:rsidRPr="00C81B55">
              <w:t>Lay linoleum</w:t>
            </w:r>
          </w:p>
        </w:tc>
        <w:tc>
          <w:tcPr>
            <w:tcW w:w="770" w:type="dxa"/>
            <w:tcBorders>
              <w:top w:val="nil"/>
              <w:left w:val="nil"/>
              <w:bottom w:val="nil"/>
              <w:right w:val="nil"/>
            </w:tcBorders>
            <w:tcMar>
              <w:top w:w="0" w:type="dxa"/>
              <w:left w:w="62" w:type="dxa"/>
              <w:bottom w:w="0" w:type="dxa"/>
              <w:right w:w="62" w:type="dxa"/>
            </w:tcMar>
          </w:tcPr>
          <w:p w:rsidR="00000000" w:rsidP="00C81B55">
            <w:pPr>
              <w:pStyle w:val="BodyText"/>
              <w:rPr>
                <w:lang w:val="en-NZ"/>
              </w:rPr>
            </w:pPr>
            <w:r w:rsidRPr="00C81B55">
              <w:t>4.1</w:t>
            </w:r>
          </w:p>
        </w:tc>
        <w:tc>
          <w:tcPr>
            <w:tcW w:w="5610" w:type="dxa"/>
            <w:tcBorders>
              <w:top w:val="nil"/>
              <w:left w:val="nil"/>
              <w:bottom w:val="nil"/>
              <w:right w:val="nil"/>
            </w:tcBorders>
            <w:tcMar>
              <w:top w:w="0" w:type="dxa"/>
              <w:left w:w="62" w:type="dxa"/>
              <w:bottom w:w="0" w:type="dxa"/>
              <w:right w:w="62" w:type="dxa"/>
            </w:tcMar>
          </w:tcPr>
          <w:p w:rsidR="00000000" w:rsidP="00C81B55">
            <w:pPr>
              <w:pStyle w:val="BodyText"/>
              <w:rPr>
                <w:lang w:val="en-NZ"/>
              </w:rPr>
            </w:pPr>
            <w:r w:rsidRPr="00C81B55">
              <w:t>Instructions and sequence for laying and fixing are followed</w:t>
            </w:r>
          </w:p>
        </w:tc>
      </w:tr>
      <w:tr w:rsidTr="00C81B5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1B55">
            <w:pPr>
              <w:pStyle w:val="BodyText"/>
              <w:rPr>
                <w:lang w:val="en-NZ"/>
              </w:rPr>
            </w:pPr>
            <w:r w:rsidRPr="00C81B55">
              <w:t>4.2</w:t>
            </w:r>
          </w:p>
        </w:tc>
        <w:tc>
          <w:tcPr>
            <w:tcW w:w="5610" w:type="dxa"/>
            <w:tcBorders>
              <w:top w:val="nil"/>
              <w:left w:val="nil"/>
              <w:bottom w:val="nil"/>
              <w:right w:val="nil"/>
            </w:tcBorders>
            <w:tcMar>
              <w:top w:w="0" w:type="dxa"/>
              <w:left w:w="62" w:type="dxa"/>
              <w:bottom w:w="0" w:type="dxa"/>
              <w:right w:w="62" w:type="dxa"/>
            </w:tcMar>
          </w:tcPr>
          <w:p w:rsidR="00000000" w:rsidP="00C81B55">
            <w:pPr>
              <w:pStyle w:val="BodyText"/>
              <w:rPr>
                <w:lang w:val="en-NZ"/>
              </w:rPr>
            </w:pPr>
            <w:r w:rsidRPr="00C81B55">
              <w:t>Materials for welding and fixing are organised and used in accordance with relevant safety management requirements</w:t>
            </w:r>
          </w:p>
        </w:tc>
      </w:tr>
      <w:tr w:rsidTr="00C81B5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1B55">
            <w:pPr>
              <w:pStyle w:val="BodyText"/>
              <w:rPr>
                <w:lang w:val="en-NZ"/>
              </w:rPr>
            </w:pPr>
            <w:r w:rsidRPr="00C81B55">
              <w:t>4.3</w:t>
            </w:r>
          </w:p>
        </w:tc>
        <w:tc>
          <w:tcPr>
            <w:tcW w:w="5610" w:type="dxa"/>
            <w:tcBorders>
              <w:top w:val="nil"/>
              <w:left w:val="nil"/>
              <w:bottom w:val="nil"/>
              <w:right w:val="nil"/>
            </w:tcBorders>
            <w:tcMar>
              <w:top w:w="0" w:type="dxa"/>
              <w:left w:w="62" w:type="dxa"/>
              <w:bottom w:w="0" w:type="dxa"/>
              <w:right w:w="62" w:type="dxa"/>
            </w:tcMar>
          </w:tcPr>
          <w:p w:rsidR="00000000" w:rsidP="00C81B55">
            <w:pPr>
              <w:pStyle w:val="BodyText"/>
              <w:rPr>
                <w:lang w:val="en-NZ"/>
              </w:rPr>
            </w:pPr>
            <w:r w:rsidRPr="00C81B55">
              <w:t>Welding and fixing methods and equipment are used following manufacturer instructions</w:t>
            </w:r>
          </w:p>
        </w:tc>
      </w:tr>
      <w:tr w:rsidTr="00C81B5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1B55">
            <w:pPr>
              <w:pStyle w:val="BodyText"/>
              <w:rPr>
                <w:lang w:val="en-NZ"/>
              </w:rPr>
            </w:pPr>
            <w:r w:rsidRPr="00C81B55">
              <w:t>4.4</w:t>
            </w:r>
          </w:p>
        </w:tc>
        <w:tc>
          <w:tcPr>
            <w:tcW w:w="5610" w:type="dxa"/>
            <w:tcBorders>
              <w:top w:val="nil"/>
              <w:left w:val="nil"/>
              <w:bottom w:val="nil"/>
              <w:right w:val="nil"/>
            </w:tcBorders>
            <w:tcMar>
              <w:top w:w="0" w:type="dxa"/>
              <w:left w:w="62" w:type="dxa"/>
              <w:bottom w:w="0" w:type="dxa"/>
              <w:right w:w="62" w:type="dxa"/>
            </w:tcMar>
          </w:tcPr>
          <w:p w:rsidR="00000000" w:rsidP="00C81B55">
            <w:pPr>
              <w:pStyle w:val="BodyText"/>
              <w:rPr>
                <w:lang w:val="en-NZ"/>
              </w:rPr>
            </w:pPr>
            <w:r w:rsidRPr="00C81B55">
              <w:t>Resilient skirting, reducer and edge</w:t>
            </w:r>
            <w:r w:rsidRPr="00C81B55">
              <w:t xml:space="preserve"> strips are set-out and installed, as required</w:t>
            </w:r>
          </w:p>
        </w:tc>
      </w:tr>
      <w:tr w:rsidTr="00C81B5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1B55">
            <w:pPr>
              <w:pStyle w:val="BodyText"/>
              <w:rPr>
                <w:lang w:val="en-NZ"/>
              </w:rPr>
            </w:pPr>
            <w:r w:rsidRPr="00C81B55">
              <w:t>4.5</w:t>
            </w:r>
          </w:p>
        </w:tc>
        <w:tc>
          <w:tcPr>
            <w:tcW w:w="5610" w:type="dxa"/>
            <w:tcBorders>
              <w:top w:val="nil"/>
              <w:left w:val="nil"/>
              <w:bottom w:val="nil"/>
              <w:right w:val="nil"/>
            </w:tcBorders>
            <w:tcMar>
              <w:top w:w="0" w:type="dxa"/>
              <w:left w:w="62" w:type="dxa"/>
              <w:bottom w:w="0" w:type="dxa"/>
              <w:right w:w="62" w:type="dxa"/>
            </w:tcMar>
          </w:tcPr>
          <w:p w:rsidR="00000000" w:rsidP="00C81B55">
            <w:pPr>
              <w:pStyle w:val="BodyText"/>
              <w:rPr>
                <w:lang w:val="en-NZ"/>
              </w:rPr>
            </w:pPr>
            <w:r w:rsidRPr="00C81B55">
              <w:t>Completed installation is checked for flaws in installation and materials and faults rectified</w:t>
            </w:r>
          </w:p>
        </w:tc>
      </w:tr>
      <w:tr w:rsidTr="00C81B55">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C81B55">
            <w:pPr>
              <w:pStyle w:val="BodyText"/>
              <w:rPr>
                <w:lang w:val="en-NZ"/>
              </w:rPr>
            </w:pPr>
            <w:r w:rsidRPr="00C81B55">
              <w:t>5</w:t>
            </w:r>
          </w:p>
        </w:tc>
        <w:tc>
          <w:tcPr>
            <w:tcW w:w="1962" w:type="dxa"/>
            <w:vMerge w:val="restart"/>
            <w:tcBorders>
              <w:top w:val="nil"/>
              <w:left w:val="nil"/>
              <w:bottom w:val="nil"/>
              <w:right w:val="nil"/>
            </w:tcBorders>
            <w:tcMar>
              <w:top w:w="0" w:type="dxa"/>
              <w:left w:w="62" w:type="dxa"/>
              <w:bottom w:w="0" w:type="dxa"/>
              <w:right w:w="62" w:type="dxa"/>
            </w:tcMar>
          </w:tcPr>
          <w:p w:rsidR="00000000" w:rsidP="00C81B55">
            <w:pPr>
              <w:pStyle w:val="BodyText"/>
              <w:rPr>
                <w:lang w:val="en-NZ"/>
              </w:rPr>
            </w:pPr>
            <w:r w:rsidRPr="00C81B55">
              <w:t>Complete housekeeping</w:t>
            </w:r>
          </w:p>
        </w:tc>
        <w:tc>
          <w:tcPr>
            <w:tcW w:w="770" w:type="dxa"/>
            <w:tcBorders>
              <w:top w:val="nil"/>
              <w:left w:val="nil"/>
              <w:bottom w:val="nil"/>
              <w:right w:val="nil"/>
            </w:tcBorders>
            <w:tcMar>
              <w:top w:w="0" w:type="dxa"/>
              <w:left w:w="62" w:type="dxa"/>
              <w:bottom w:w="0" w:type="dxa"/>
              <w:right w:w="62" w:type="dxa"/>
            </w:tcMar>
          </w:tcPr>
          <w:p w:rsidR="00000000" w:rsidP="00C81B55">
            <w:pPr>
              <w:pStyle w:val="BodyText"/>
              <w:rPr>
                <w:lang w:val="en-NZ"/>
              </w:rPr>
            </w:pPr>
            <w:r w:rsidRPr="00C81B55">
              <w:t>5.1</w:t>
            </w:r>
          </w:p>
        </w:tc>
        <w:tc>
          <w:tcPr>
            <w:tcW w:w="5610" w:type="dxa"/>
            <w:tcBorders>
              <w:top w:val="nil"/>
              <w:left w:val="nil"/>
              <w:bottom w:val="nil"/>
              <w:right w:val="nil"/>
            </w:tcBorders>
            <w:tcMar>
              <w:top w:w="0" w:type="dxa"/>
              <w:left w:w="62" w:type="dxa"/>
              <w:bottom w:w="0" w:type="dxa"/>
              <w:right w:w="62" w:type="dxa"/>
            </w:tcMar>
          </w:tcPr>
          <w:p w:rsidR="00000000" w:rsidP="00C81B55">
            <w:pPr>
              <w:pStyle w:val="BodyText"/>
              <w:rPr>
                <w:lang w:val="en-NZ"/>
              </w:rPr>
            </w:pPr>
            <w:r w:rsidRPr="00C81B55">
              <w:t>Unused materials are stored or recycled as required</w:t>
            </w:r>
          </w:p>
        </w:tc>
      </w:tr>
      <w:tr w:rsidTr="00C81B5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1B55">
            <w:pPr>
              <w:pStyle w:val="BodyText"/>
              <w:rPr>
                <w:lang w:val="en-NZ"/>
              </w:rPr>
            </w:pPr>
            <w:r w:rsidRPr="00C81B55">
              <w:t>5.2</w:t>
            </w:r>
          </w:p>
        </w:tc>
        <w:tc>
          <w:tcPr>
            <w:tcW w:w="5610" w:type="dxa"/>
            <w:tcBorders>
              <w:top w:val="nil"/>
              <w:left w:val="nil"/>
              <w:bottom w:val="nil"/>
              <w:right w:val="nil"/>
            </w:tcBorders>
            <w:tcMar>
              <w:top w:w="0" w:type="dxa"/>
              <w:left w:w="62" w:type="dxa"/>
              <w:bottom w:w="0" w:type="dxa"/>
              <w:right w:w="62" w:type="dxa"/>
            </w:tcMar>
          </w:tcPr>
          <w:p w:rsidR="00000000" w:rsidP="00C81B55">
            <w:pPr>
              <w:pStyle w:val="BodyText"/>
              <w:rPr>
                <w:lang w:val="en-NZ"/>
              </w:rPr>
            </w:pPr>
            <w:r w:rsidRPr="00C81B55">
              <w:t>Tools and equipment are cleaned and stored appropriately</w:t>
            </w:r>
          </w:p>
        </w:tc>
      </w:tr>
      <w:tr w:rsidTr="00C81B5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1B55">
            <w:pPr>
              <w:pStyle w:val="BodyText"/>
              <w:rPr>
                <w:lang w:val="en-NZ"/>
              </w:rPr>
            </w:pPr>
            <w:r w:rsidRPr="00C81B55">
              <w:t>5.3</w:t>
            </w:r>
          </w:p>
        </w:tc>
        <w:tc>
          <w:tcPr>
            <w:tcW w:w="5610" w:type="dxa"/>
            <w:tcBorders>
              <w:top w:val="nil"/>
              <w:left w:val="nil"/>
              <w:bottom w:val="nil"/>
              <w:right w:val="nil"/>
            </w:tcBorders>
            <w:tcMar>
              <w:top w:w="0" w:type="dxa"/>
              <w:left w:w="62" w:type="dxa"/>
              <w:bottom w:w="0" w:type="dxa"/>
              <w:right w:w="62" w:type="dxa"/>
            </w:tcMar>
          </w:tcPr>
          <w:p w:rsidR="00000000" w:rsidP="00C81B55">
            <w:pPr>
              <w:pStyle w:val="BodyText"/>
              <w:rPr>
                <w:lang w:val="en-NZ"/>
              </w:rPr>
            </w:pPr>
            <w:r w:rsidRPr="00C81B55">
              <w:t>Work area is cleaned and rubbish disposed of appropriately</w:t>
            </w:r>
          </w:p>
        </w:tc>
      </w:tr>
      <w:tr w:rsidTr="00C81B55">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81B55">
            <w:pPr>
              <w:pStyle w:val="BodyText"/>
              <w:rPr>
                <w:lang w:val="en-NZ"/>
              </w:rPr>
            </w:pPr>
            <w:r w:rsidRPr="00C81B55">
              <w:t>5.4</w:t>
            </w:r>
          </w:p>
        </w:tc>
        <w:tc>
          <w:tcPr>
            <w:tcW w:w="5610" w:type="dxa"/>
            <w:tcBorders>
              <w:top w:val="nil"/>
              <w:left w:val="nil"/>
              <w:bottom w:val="nil"/>
              <w:right w:val="nil"/>
            </w:tcBorders>
            <w:tcMar>
              <w:top w:w="0" w:type="dxa"/>
              <w:left w:w="62" w:type="dxa"/>
              <w:bottom w:w="0" w:type="dxa"/>
              <w:right w:w="62" w:type="dxa"/>
            </w:tcMar>
          </w:tcPr>
          <w:p w:rsidR="00000000" w:rsidRPr="00C81B55" w:rsidP="00C81B55">
            <w:pPr>
              <w:pStyle w:val="BodyText"/>
            </w:pPr>
            <w:r w:rsidRPr="00C81B55">
              <w:t>Workplace documentation is completed</w:t>
            </w:r>
          </w:p>
        </w:tc>
      </w:tr>
    </w:tbl>
    <w:p w:rsidR="00716BD0" w:rsidP="00C81B55">
      <w:pPr>
        <w:pStyle w:val="BodyText"/>
      </w:pPr>
    </w:p>
    <w:p w:rsidR="00716BD0" w:rsidP="00C81B55">
      <w:pPr>
        <w:pStyle w:val="BodyText"/>
      </w:pPr>
    </w:p>
    <w:p w:rsidR="00000000" w:rsidRPr="00C81B55" w:rsidP="00C81B55">
      <w:pPr>
        <w:pStyle w:val="Heading1"/>
      </w:pPr>
      <w:bookmarkStart w:id="7" w:name="O_635791"/>
      <w:bookmarkEnd w:id="7"/>
      <w:r w:rsidRPr="00C81B55">
        <w:t>Foundation Skills</w:t>
      </w:r>
    </w:p>
    <w:p w:rsidR="00716BD0" w:rsidP="00C81B55">
      <w:pPr>
        <w:pStyle w:val="BodyText"/>
      </w:pPr>
      <w:r w:rsidRPr="00C81B55">
        <w:t>Foundation skills essential to performance are explicit in the performance criteria of this unit of competency. Detail on appropriate performance levels for each furnishing unit of competency in reading, writing, oral communication and numeracy utilising t</w:t>
      </w:r>
      <w:r w:rsidRPr="00C81B55">
        <w:t xml:space="preserve">he Australian Core Skills Framework (ACSF) are provided in the Furnishing Training Package Implementation Guide. </w:t>
      </w:r>
    </w:p>
    <w:p w:rsidR="00716BD0" w:rsidP="00C81B55">
      <w:pPr>
        <w:pStyle w:val="BodyText"/>
      </w:pPr>
    </w:p>
    <w:p w:rsidR="00000000" w:rsidRPr="00C81B55" w:rsidP="00C81B55">
      <w:pPr>
        <w:pStyle w:val="Heading1"/>
      </w:pPr>
      <w:bookmarkStart w:id="8" w:name="O_635790"/>
      <w:bookmarkEnd w:id="8"/>
      <w:r w:rsidRPr="00C81B55">
        <w:t>Range of Conditions</w:t>
      </w:r>
    </w:p>
    <w:tbl>
      <w:tblPr>
        <w:tblW w:w="0" w:type="auto"/>
        <w:tblLayout w:type="fixed"/>
        <w:tblCellMar>
          <w:left w:w="62" w:type="dxa"/>
          <w:right w:w="62" w:type="dxa"/>
        </w:tblCellMar>
        <w:tblLook w:val="0000"/>
      </w:tblPr>
      <w:tblGrid>
        <w:gridCol w:w="2760"/>
        <w:gridCol w:w="6312"/>
      </w:tblGrid>
      <w:tr w:rsidTr="00C81B5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81B55">
            <w:pPr>
              <w:pStyle w:val="BodyText"/>
              <w:rPr>
                <w:lang w:val="en-NZ"/>
              </w:rPr>
            </w:pPr>
            <w:r w:rsidRPr="00C81B55">
              <w:t>Specifies different work environments and conditions that may affect performance. Essential operating co</w:t>
            </w:r>
            <w:r w:rsidRPr="00C81B55">
              <w:t>nditions that may be present (depending on the work situation, needs of the candidate, accessibility of the item, and local industry and regional contexts) are included. Range is restricted to essential operating conditions and any other variables essentia</w:t>
            </w:r>
            <w:r w:rsidRPr="00C81B55">
              <w:t>l to the work environment.</w:t>
            </w:r>
          </w:p>
        </w:tc>
      </w:tr>
      <w:tr w:rsidTr="00C81B5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81B55">
            <w:pPr>
              <w:pStyle w:val="BodyText"/>
              <w:rPr>
                <w:lang w:val="en-NZ"/>
              </w:rPr>
            </w:pPr>
            <w:r w:rsidRPr="00C81B55">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C81B55" w:rsidP="00C81B55">
            <w:pPr>
              <w:pStyle w:val="ListBullet"/>
            </w:pPr>
            <w:r w:rsidRPr="00C81B55">
              <w:t xml:space="preserve">WHS requirements, including legislation, building codes, material safety management systems, hazardous and dangerous goods codes, and local safe operating procedures or equivalent </w:t>
            </w:r>
          </w:p>
          <w:p w:rsidR="00000000" w:rsidRPr="00C81B55" w:rsidP="00C81B55">
            <w:pPr>
              <w:pStyle w:val="ListBullet"/>
            </w:pPr>
            <w:r w:rsidRPr="00C81B55">
              <w:t xml:space="preserve">work is carried out in accordance with legislative obligations, environmental legislation, relevant health regulations, manual handling procedures and organisation insurance requirements </w:t>
            </w:r>
          </w:p>
          <w:p w:rsidR="00000000" w:rsidP="00C81B55">
            <w:pPr>
              <w:pStyle w:val="ListBullet"/>
              <w:rPr>
                <w:lang w:val="en-NZ"/>
              </w:rPr>
            </w:pPr>
            <w:r w:rsidRPr="00C81B55">
              <w:t xml:space="preserve">work requires individuals to demonstrate some discretion, judgement </w:t>
            </w:r>
            <w:r w:rsidRPr="00C81B55">
              <w:t xml:space="preserve">and problem solving </w:t>
            </w:r>
          </w:p>
        </w:tc>
      </w:tr>
      <w:tr w:rsidTr="00C81B5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81B55">
            <w:pPr>
              <w:pStyle w:val="BodyText"/>
              <w:rPr>
                <w:lang w:val="en-NZ"/>
              </w:rPr>
            </w:pPr>
            <w:r w:rsidRPr="00C81B55">
              <w:rPr>
                <w:rStyle w:val="SpecialBold"/>
              </w:rPr>
              <w:t>Linoleum floor coverings include:</w:t>
            </w:r>
          </w:p>
        </w:tc>
        <w:tc>
          <w:tcPr>
            <w:tcW w:w="6312" w:type="dxa"/>
            <w:tcBorders>
              <w:top w:val="nil"/>
              <w:left w:val="nil"/>
              <w:bottom w:val="nil"/>
              <w:right w:val="nil"/>
            </w:tcBorders>
            <w:tcMar>
              <w:top w:w="0" w:type="dxa"/>
              <w:left w:w="62" w:type="dxa"/>
              <w:bottom w:w="0" w:type="dxa"/>
              <w:right w:w="62" w:type="dxa"/>
            </w:tcMar>
          </w:tcPr>
          <w:p w:rsidR="00000000" w:rsidRPr="00C81B55" w:rsidP="00C81B55">
            <w:pPr>
              <w:pStyle w:val="ListBullet"/>
            </w:pPr>
            <w:r w:rsidRPr="00C81B55">
              <w:t>linoleum sheet</w:t>
            </w:r>
          </w:p>
          <w:p w:rsidR="00000000" w:rsidRPr="00C81B55" w:rsidP="00C81B55">
            <w:pPr>
              <w:pStyle w:val="ListBullet"/>
            </w:pPr>
            <w:r w:rsidRPr="00C81B55">
              <w:t>bulletin board</w:t>
            </w:r>
          </w:p>
          <w:p w:rsidR="00000000" w:rsidRPr="00C81B55" w:rsidP="00C81B55">
            <w:pPr>
              <w:pStyle w:val="ListBullet"/>
            </w:pPr>
            <w:r w:rsidRPr="00C81B55">
              <w:t>linoleum tiles</w:t>
            </w:r>
          </w:p>
          <w:p w:rsidR="00000000" w:rsidP="00C81B55">
            <w:pPr>
              <w:pStyle w:val="ListBullet"/>
              <w:rPr>
                <w:lang w:val="en-NZ"/>
              </w:rPr>
            </w:pPr>
            <w:r w:rsidRPr="00C81B55">
              <w:t>pre-formed linoleum cove</w:t>
            </w:r>
          </w:p>
        </w:tc>
      </w:tr>
      <w:tr w:rsidTr="00C81B5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81B55">
            <w:pPr>
              <w:pStyle w:val="BodyText"/>
              <w:rPr>
                <w:lang w:val="en-NZ"/>
              </w:rPr>
            </w:pPr>
            <w:r w:rsidRPr="00C81B55">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C81B55" w:rsidP="00C81B55">
            <w:pPr>
              <w:pStyle w:val="ListBullet"/>
            </w:pPr>
            <w:r w:rsidRPr="00C81B55">
              <w:t xml:space="preserve">utility knife with hook </w:t>
            </w:r>
          </w:p>
          <w:p w:rsidR="00000000" w:rsidRPr="00C81B55" w:rsidP="00C81B55">
            <w:pPr>
              <w:pStyle w:val="ListBullet"/>
            </w:pPr>
            <w:r w:rsidRPr="00C81B55">
              <w:t xml:space="preserve">straight and concave blades </w:t>
            </w:r>
          </w:p>
          <w:p w:rsidR="00000000" w:rsidRPr="00C81B55" w:rsidP="00C81B55">
            <w:pPr>
              <w:pStyle w:val="ListBullet"/>
            </w:pPr>
            <w:r w:rsidRPr="00C81B55">
              <w:t xml:space="preserve">straight edge </w:t>
            </w:r>
          </w:p>
          <w:p w:rsidR="00000000" w:rsidRPr="00C81B55" w:rsidP="00C81B55">
            <w:pPr>
              <w:pStyle w:val="ListBullet"/>
            </w:pPr>
            <w:r w:rsidRPr="00C81B55">
              <w:t xml:space="preserve">square </w:t>
            </w:r>
          </w:p>
          <w:p w:rsidR="00000000" w:rsidRPr="00C81B55" w:rsidP="00C81B55">
            <w:pPr>
              <w:pStyle w:val="ListBullet"/>
            </w:pPr>
            <w:r w:rsidRPr="00C81B55">
              <w:t xml:space="preserve">chalk and chalk-line </w:t>
            </w:r>
          </w:p>
          <w:p w:rsidR="00000000" w:rsidRPr="00C81B55" w:rsidP="00C81B55">
            <w:pPr>
              <w:pStyle w:val="ListBullet"/>
            </w:pPr>
            <w:r w:rsidRPr="00C81B55">
              <w:t xml:space="preserve">tape measure </w:t>
            </w:r>
          </w:p>
          <w:p w:rsidR="00000000" w:rsidRPr="00C81B55" w:rsidP="00C81B55">
            <w:pPr>
              <w:pStyle w:val="ListBullet"/>
            </w:pPr>
            <w:r w:rsidRPr="00C81B55">
              <w:t xml:space="preserve">hacksaw </w:t>
            </w:r>
          </w:p>
          <w:p w:rsidR="00000000" w:rsidRPr="00C81B55" w:rsidP="00C81B55">
            <w:pPr>
              <w:pStyle w:val="ListBullet"/>
            </w:pPr>
            <w:r w:rsidRPr="00C81B55">
              <w:t xml:space="preserve">notched trowel </w:t>
            </w:r>
          </w:p>
          <w:p w:rsidR="00000000" w:rsidRPr="00C81B55" w:rsidP="00C81B55">
            <w:pPr>
              <w:pStyle w:val="ListBullet"/>
            </w:pPr>
            <w:r w:rsidRPr="00C81B55">
              <w:t xml:space="preserve">hammer </w:t>
            </w:r>
          </w:p>
          <w:p w:rsidR="00000000" w:rsidRPr="00C81B55" w:rsidP="00C81B55">
            <w:pPr>
              <w:pStyle w:val="ListBullet"/>
            </w:pPr>
            <w:r w:rsidRPr="00C81B55">
              <w:t xml:space="preserve">seam and edge trimmer </w:t>
            </w:r>
          </w:p>
          <w:p w:rsidR="00000000" w:rsidRPr="00C81B55" w:rsidP="00C81B55">
            <w:pPr>
              <w:pStyle w:val="ListBullet"/>
            </w:pPr>
            <w:r w:rsidRPr="00C81B55">
              <w:t xml:space="preserve">recess scriber and pre-formed linoleum recess scribers </w:t>
            </w:r>
          </w:p>
          <w:p w:rsidR="00000000" w:rsidRPr="00C81B55" w:rsidP="00C81B55">
            <w:pPr>
              <w:pStyle w:val="ListBullet"/>
            </w:pPr>
            <w:r w:rsidRPr="00C81B55">
              <w:t xml:space="preserve">scribing bar </w:t>
            </w:r>
          </w:p>
          <w:p w:rsidR="00000000" w:rsidRPr="00C81B55" w:rsidP="00C81B55">
            <w:pPr>
              <w:pStyle w:val="ListBullet"/>
            </w:pPr>
            <w:r w:rsidRPr="00C81B55">
              <w:t xml:space="preserve">welding gun and accessories </w:t>
            </w:r>
          </w:p>
          <w:p w:rsidR="00000000" w:rsidRPr="00C81B55" w:rsidP="00C81B55">
            <w:pPr>
              <w:pStyle w:val="ListBullet"/>
            </w:pPr>
            <w:r w:rsidRPr="00C81B55">
              <w:t xml:space="preserve">hot air gun </w:t>
            </w:r>
          </w:p>
          <w:p w:rsidR="00000000" w:rsidRPr="00C81B55" w:rsidP="00C81B55">
            <w:pPr>
              <w:pStyle w:val="ListBullet"/>
            </w:pPr>
            <w:r w:rsidRPr="00C81B55">
              <w:t xml:space="preserve">grooving tool </w:t>
            </w:r>
          </w:p>
          <w:p w:rsidR="00000000" w:rsidRPr="00C81B55" w:rsidP="00C81B55">
            <w:pPr>
              <w:pStyle w:val="ListBullet"/>
            </w:pPr>
            <w:r w:rsidRPr="00C81B55">
              <w:t xml:space="preserve">divider </w:t>
            </w:r>
          </w:p>
          <w:p w:rsidR="00000000" w:rsidRPr="00C81B55" w:rsidP="00C81B55">
            <w:pPr>
              <w:pStyle w:val="ListBullet"/>
            </w:pPr>
            <w:r w:rsidRPr="00C81B55">
              <w:t xml:space="preserve">cove roller </w:t>
            </w:r>
          </w:p>
          <w:p w:rsidR="00000000" w:rsidRPr="00C81B55" w:rsidP="00C81B55">
            <w:pPr>
              <w:pStyle w:val="ListBullet"/>
            </w:pPr>
            <w:r w:rsidRPr="00C81B55">
              <w:t xml:space="preserve">hand roller </w:t>
            </w:r>
          </w:p>
          <w:p w:rsidR="00000000" w:rsidRPr="00C81B55" w:rsidP="00C81B55">
            <w:pPr>
              <w:pStyle w:val="ListBullet"/>
            </w:pPr>
            <w:r w:rsidRPr="00C81B55">
              <w:t xml:space="preserve">cove gauging tool roller </w:t>
            </w:r>
          </w:p>
          <w:p w:rsidR="00000000" w:rsidRPr="00C81B55" w:rsidP="00C81B55">
            <w:pPr>
              <w:pStyle w:val="ListBullet"/>
            </w:pPr>
            <w:r w:rsidRPr="00C81B55">
              <w:t xml:space="preserve">gas bottle and gun </w:t>
            </w:r>
          </w:p>
          <w:p w:rsidR="00000000" w:rsidRPr="00C81B55" w:rsidP="00C81B55">
            <w:pPr>
              <w:pStyle w:val="ListBullet"/>
            </w:pPr>
            <w:r w:rsidRPr="00C81B55">
              <w:t xml:space="preserve">rubber mallet </w:t>
            </w:r>
          </w:p>
          <w:p w:rsidR="00000000" w:rsidRPr="00C81B55" w:rsidP="00C81B55">
            <w:pPr>
              <w:pStyle w:val="ListBullet"/>
            </w:pPr>
            <w:r w:rsidRPr="00C81B55">
              <w:t xml:space="preserve">paint brush and bucket </w:t>
            </w:r>
          </w:p>
          <w:p w:rsidR="00000000" w:rsidRPr="00C81B55" w:rsidP="00C81B55">
            <w:pPr>
              <w:pStyle w:val="ListBullet"/>
            </w:pPr>
            <w:r w:rsidRPr="00C81B55">
              <w:t xml:space="preserve">spatula knife </w:t>
            </w:r>
          </w:p>
          <w:p w:rsidR="00000000" w:rsidRPr="00C81B55" w:rsidP="00C81B55">
            <w:pPr>
              <w:pStyle w:val="ListBullet"/>
            </w:pPr>
            <w:r w:rsidRPr="00C81B55">
              <w:t xml:space="preserve">builders pencil </w:t>
            </w:r>
          </w:p>
          <w:p w:rsidR="00000000" w:rsidRPr="00C81B55" w:rsidP="00C81B55">
            <w:pPr>
              <w:pStyle w:val="ListBullet"/>
            </w:pPr>
            <w:r w:rsidRPr="00C81B55">
              <w:t xml:space="preserve">contact bucket </w:t>
            </w:r>
          </w:p>
          <w:p w:rsidR="00000000" w:rsidRPr="00C81B55" w:rsidP="00C81B55">
            <w:pPr>
              <w:pStyle w:val="ListBullet"/>
            </w:pPr>
            <w:r w:rsidRPr="00C81B55">
              <w:t xml:space="preserve">linoleum trolley </w:t>
            </w:r>
          </w:p>
          <w:p w:rsidR="00000000" w:rsidP="00C81B55">
            <w:pPr>
              <w:pStyle w:val="ListBullet"/>
              <w:rPr>
                <w:lang w:val="en-NZ"/>
              </w:rPr>
            </w:pPr>
            <w:r w:rsidRPr="00C81B55">
              <w:t>wall trimmer</w:t>
            </w:r>
          </w:p>
        </w:tc>
      </w:tr>
      <w:tr w:rsidTr="00C81B5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81B55">
            <w:pPr>
              <w:pStyle w:val="BodyText"/>
              <w:rPr>
                <w:lang w:val="en-NZ"/>
              </w:rPr>
            </w:pPr>
            <w:r w:rsidRPr="00C81B55">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C81B55" w:rsidP="00C81B55">
            <w:pPr>
              <w:pStyle w:val="ListBullet"/>
            </w:pPr>
            <w:r w:rsidRPr="00C81B55">
              <w:t xml:space="preserve">resilient sheet flooring </w:t>
            </w:r>
          </w:p>
          <w:p w:rsidR="00000000" w:rsidRPr="00C81B55" w:rsidP="00C81B55">
            <w:pPr>
              <w:pStyle w:val="ListBullet"/>
            </w:pPr>
            <w:r w:rsidRPr="00C81B55">
              <w:t>skirting</w:t>
            </w:r>
          </w:p>
          <w:p w:rsidR="00000000" w:rsidRPr="00C81B55" w:rsidP="00C81B55">
            <w:pPr>
              <w:pStyle w:val="ListBullet"/>
            </w:pPr>
            <w:r w:rsidRPr="00C81B55">
              <w:t xml:space="preserve">reducing and edge strips </w:t>
            </w:r>
          </w:p>
          <w:p w:rsidR="00000000" w:rsidRPr="00C81B55" w:rsidP="00C81B55">
            <w:pPr>
              <w:pStyle w:val="ListBullet"/>
            </w:pPr>
            <w:r w:rsidRPr="00C81B55">
              <w:t xml:space="preserve">welding rod </w:t>
            </w:r>
          </w:p>
          <w:p w:rsidR="00000000" w:rsidRPr="00C81B55" w:rsidP="00C81B55">
            <w:pPr>
              <w:pStyle w:val="ListBullet"/>
            </w:pPr>
            <w:r w:rsidRPr="00C81B55">
              <w:t xml:space="preserve">coving accessories </w:t>
            </w:r>
          </w:p>
          <w:p w:rsidR="00000000" w:rsidRPr="00C81B55" w:rsidP="00C81B55">
            <w:pPr>
              <w:pStyle w:val="ListBullet"/>
            </w:pPr>
            <w:r w:rsidRPr="00C81B55">
              <w:t xml:space="preserve">tapes </w:t>
            </w:r>
          </w:p>
          <w:p w:rsidR="00000000" w:rsidRPr="00C81B55" w:rsidP="00C81B55">
            <w:pPr>
              <w:pStyle w:val="ListBullet"/>
            </w:pPr>
            <w:r w:rsidRPr="00C81B55">
              <w:t xml:space="preserve">pattern paper </w:t>
            </w:r>
          </w:p>
          <w:p w:rsidR="00000000" w:rsidP="00C81B55">
            <w:pPr>
              <w:pStyle w:val="ListBullet"/>
              <w:rPr>
                <w:lang w:val="en-NZ"/>
              </w:rPr>
            </w:pPr>
            <w:r w:rsidRPr="00C81B55">
              <w:t>adhesives</w:t>
            </w:r>
          </w:p>
        </w:tc>
      </w:tr>
      <w:tr w:rsidTr="00C81B5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81B55">
            <w:pPr>
              <w:pStyle w:val="BodyText"/>
              <w:rPr>
                <w:lang w:val="en-NZ"/>
              </w:rPr>
            </w:pPr>
            <w:r w:rsidRPr="00C81B55">
              <w:rPr>
                <w:rStyle w:val="SpecialBold"/>
              </w:rPr>
              <w:t>Welding includes:</w:t>
            </w:r>
          </w:p>
        </w:tc>
        <w:tc>
          <w:tcPr>
            <w:tcW w:w="6312" w:type="dxa"/>
            <w:tcBorders>
              <w:top w:val="nil"/>
              <w:left w:val="nil"/>
              <w:bottom w:val="nil"/>
              <w:right w:val="nil"/>
            </w:tcBorders>
            <w:tcMar>
              <w:top w:w="0" w:type="dxa"/>
              <w:left w:w="62" w:type="dxa"/>
              <w:bottom w:w="0" w:type="dxa"/>
              <w:right w:w="62" w:type="dxa"/>
            </w:tcMar>
          </w:tcPr>
          <w:p w:rsidR="00000000" w:rsidP="00C81B55">
            <w:pPr>
              <w:pStyle w:val="ListBullet"/>
              <w:rPr>
                <w:lang w:val="en-NZ"/>
              </w:rPr>
            </w:pPr>
            <w:r w:rsidRPr="00C81B55">
              <w:t xml:space="preserve">hot welding </w:t>
            </w:r>
          </w:p>
        </w:tc>
      </w:tr>
      <w:tr w:rsidTr="00C81B5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81B55">
            <w:pPr>
              <w:pStyle w:val="BodyText"/>
              <w:rPr>
                <w:lang w:val="en-NZ"/>
              </w:rPr>
            </w:pPr>
            <w:r w:rsidRPr="00C81B55">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C81B55">
            <w:pPr>
              <w:pStyle w:val="ListBullet"/>
              <w:rPr>
                <w:lang w:val="en-NZ"/>
              </w:rPr>
            </w:pPr>
            <w:r w:rsidRPr="00C81B55">
              <w:t xml:space="preserve">that prescribed under legislation, regulations and enterprise policies and practices </w:t>
            </w:r>
          </w:p>
        </w:tc>
      </w:tr>
      <w:tr w:rsidTr="00C81B5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C81B55" w:rsidP="00C81B55">
            <w:pPr>
              <w:pStyle w:val="BodyText"/>
            </w:pPr>
            <w:r w:rsidRPr="00C81B55">
              <w:rPr>
                <w:rStyle w:val="SpecialBold"/>
              </w:rPr>
              <w:t>Information and procedures include:</w:t>
            </w:r>
          </w:p>
          <w:p w:rsidR="00000000" w:rsidP="00C81B55">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C81B55" w:rsidP="00C81B55">
            <w:pPr>
              <w:pStyle w:val="ListBullet"/>
            </w:pPr>
            <w:r w:rsidRPr="00C81B55">
              <w:t xml:space="preserve">workplace procedures relating to the use of tools and equipment </w:t>
            </w:r>
          </w:p>
          <w:p w:rsidR="00000000" w:rsidRPr="00C81B55" w:rsidP="00C81B55">
            <w:pPr>
              <w:pStyle w:val="ListBullet"/>
            </w:pPr>
            <w:r w:rsidRPr="00C81B55">
              <w:t xml:space="preserve">work instructions, including job sheets, cutting lists, plans, drawings and designs </w:t>
            </w:r>
          </w:p>
          <w:p w:rsidR="00000000" w:rsidRPr="00C81B55" w:rsidP="00C81B55">
            <w:pPr>
              <w:pStyle w:val="ListBullet"/>
            </w:pPr>
            <w:r w:rsidRPr="00C81B55">
              <w:t xml:space="preserve">workplace procedures relating to reporting and communication </w:t>
            </w:r>
          </w:p>
          <w:p w:rsidR="00000000" w:rsidRPr="00C81B55" w:rsidP="00C81B55">
            <w:pPr>
              <w:pStyle w:val="ListBullet"/>
            </w:pPr>
            <w:r w:rsidRPr="00C81B55">
              <w:t>manufa</w:t>
            </w:r>
            <w:r w:rsidRPr="00C81B55">
              <w:t xml:space="preserve">cturer specifications and operational procedures </w:t>
            </w:r>
          </w:p>
        </w:tc>
      </w:tr>
    </w:tbl>
    <w:p w:rsidR="00000000" w:rsidRPr="00C81B55" w:rsidP="00C81B55">
      <w:pPr>
        <w:pStyle w:val="BodyText"/>
      </w:pPr>
    </w:p>
    <w:p w:rsidR="00000000" w:rsidRPr="00C81B55" w:rsidP="00C81B55">
      <w:pPr>
        <w:pStyle w:val="AllowPageBreak"/>
      </w:pPr>
    </w:p>
    <w:p w:rsidR="00000000" w:rsidRPr="00C81B55" w:rsidP="00C81B55">
      <w:pPr>
        <w:pStyle w:val="Heading1"/>
      </w:pPr>
      <w:bookmarkStart w:id="9" w:name="O_635789"/>
      <w:bookmarkEnd w:id="9"/>
      <w:r w:rsidRPr="00C81B55">
        <w:t>Unit Mapping Information</w:t>
      </w:r>
    </w:p>
    <w:p w:rsidR="00000000" w:rsidRPr="00C81B55" w:rsidP="00C81B55">
      <w:pPr>
        <w:pStyle w:val="BodyText"/>
      </w:pPr>
      <w:r w:rsidRPr="00C81B55">
        <w:t>Supersedes and is equivalent to LMFFL3301A Install linoleum floor coverings</w:t>
      </w:r>
    </w:p>
    <w:p w:rsidR="00000000" w:rsidRPr="00C81B55" w:rsidP="00C81B55">
      <w:pPr>
        <w:pStyle w:val="AllowPageBreak"/>
      </w:pPr>
    </w:p>
    <w:p w:rsidR="00000000" w:rsidRPr="00C81B55" w:rsidP="00C81B55">
      <w:pPr>
        <w:pStyle w:val="Heading1"/>
      </w:pPr>
      <w:bookmarkStart w:id="10" w:name="O_635782"/>
      <w:bookmarkEnd w:id="10"/>
      <w:r w:rsidRPr="00C81B55">
        <w:t>Links</w:t>
      </w:r>
    </w:p>
    <w:p w:rsidR="00000000" w:rsidRPr="00C81B55" w:rsidP="00C81B55">
      <w:pPr>
        <w:pStyle w:val="BodyText"/>
      </w:pPr>
      <w:r w:rsidRPr="00C81B55">
        <w:t>Companion Volume implementation guides are found in VETNet - https://vetnet.education.gov.au/Pages/TrainingDocs.aspx?q=0601ab95-583a-4e93-b2d4-cfb27b03ed73</w:t>
      </w:r>
    </w:p>
    <w:p w:rsidR="00000000" w:rsidRPr="00C81B55" w:rsidP="00C81B55"/>
    <w:sectPr w:rsidSect="00C81B5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B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B55" w:rsidRPr="00716BD0" w:rsidP="00716B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B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BD0" w:rsidP="00C81B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716BD0" w:rsidP="00C81B55">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16BD0" w:rsidP="00C81B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B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BD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81B55" w:rsidRPr="00716BD0" w:rsidP="00716BD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B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BD0" w:rsidRPr="002D2AF8" w:rsidP="00C81B55">
    <w:pPr>
      <w:pStyle w:val="Header"/>
      <w:framePr w:wrap="around"/>
    </w:pPr>
    <w:r>
      <w:fldChar w:fldCharType="begin"/>
    </w:r>
    <w:r>
      <w:instrText xml:space="preserve"> TITLE   \* MERGEFORMAT </w:instrText>
    </w:r>
    <w:r>
      <w:fldChar w:fldCharType="separate"/>
    </w:r>
    <w:r>
      <w:t>MSFFL3012 Install linoleum floor coverings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716BD0" w:rsidP="00C81B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05CBC7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79034B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1B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1B55"/>
    <w:pPr>
      <w:spacing w:before="360" w:after="60"/>
      <w:outlineLvl w:val="0"/>
    </w:pPr>
    <w:rPr>
      <w:sz w:val="32"/>
    </w:rPr>
  </w:style>
  <w:style w:type="paragraph" w:styleId="Heading2">
    <w:name w:val="heading 2"/>
    <w:basedOn w:val="HeadingBase"/>
    <w:next w:val="BodyText"/>
    <w:link w:val="Heading2Char"/>
    <w:qFormat/>
    <w:rsid w:val="00C81B55"/>
    <w:pPr>
      <w:keepLines/>
      <w:spacing w:before="240" w:after="120"/>
      <w:outlineLvl w:val="1"/>
    </w:pPr>
    <w:rPr>
      <w:sz w:val="28"/>
      <w:szCs w:val="40"/>
    </w:rPr>
  </w:style>
  <w:style w:type="paragraph" w:styleId="Heading3">
    <w:name w:val="heading 3"/>
    <w:basedOn w:val="HeadingBase"/>
    <w:next w:val="BodyText"/>
    <w:link w:val="Heading3Char"/>
    <w:qFormat/>
    <w:rsid w:val="00C81B55"/>
    <w:pPr>
      <w:spacing w:before="180" w:after="120"/>
      <w:outlineLvl w:val="2"/>
    </w:pPr>
    <w:rPr>
      <w:spacing w:val="-10"/>
      <w:kern w:val="32"/>
    </w:rPr>
  </w:style>
  <w:style w:type="paragraph" w:styleId="Heading4">
    <w:name w:val="heading 4"/>
    <w:basedOn w:val="HeadingBase"/>
    <w:next w:val="BodyText"/>
    <w:link w:val="Heading4Char"/>
    <w:qFormat/>
    <w:rsid w:val="00C81B55"/>
    <w:pPr>
      <w:spacing w:before="160" w:after="120"/>
      <w:outlineLvl w:val="3"/>
    </w:pPr>
    <w:rPr>
      <w:sz w:val="22"/>
    </w:rPr>
  </w:style>
  <w:style w:type="paragraph" w:styleId="Heading5">
    <w:name w:val="heading 5"/>
    <w:basedOn w:val="HeadingBase"/>
    <w:next w:val="Normal"/>
    <w:link w:val="Heading5Char"/>
    <w:qFormat/>
    <w:rsid w:val="00C81B55"/>
    <w:pPr>
      <w:spacing w:before="80"/>
      <w:outlineLvl w:val="4"/>
    </w:pPr>
    <w:rPr>
      <w:color w:val="918585"/>
      <w:sz w:val="20"/>
    </w:rPr>
  </w:style>
  <w:style w:type="paragraph" w:styleId="Heading6">
    <w:name w:val="heading 6"/>
    <w:basedOn w:val="HeadingBase"/>
    <w:next w:val="Normal"/>
    <w:link w:val="Heading6Char"/>
    <w:qFormat/>
    <w:rsid w:val="00C81B55"/>
    <w:pPr>
      <w:spacing w:before="60"/>
      <w:outlineLvl w:val="5"/>
    </w:pPr>
    <w:rPr>
      <w:color w:val="918585"/>
      <w:sz w:val="20"/>
    </w:rPr>
  </w:style>
  <w:style w:type="paragraph" w:styleId="Heading7">
    <w:name w:val="heading 7"/>
    <w:basedOn w:val="Normal"/>
    <w:next w:val="Normal"/>
    <w:link w:val="Heading7Char"/>
    <w:qFormat/>
    <w:rsid w:val="00C81B55"/>
    <w:pPr>
      <w:ind w:left="720"/>
      <w:outlineLvl w:val="6"/>
    </w:pPr>
    <w:rPr>
      <w:i/>
    </w:rPr>
  </w:style>
  <w:style w:type="paragraph" w:styleId="Heading8">
    <w:name w:val="heading 8"/>
    <w:basedOn w:val="Normal"/>
    <w:next w:val="Normal"/>
    <w:link w:val="Heading8Char"/>
    <w:qFormat/>
    <w:rsid w:val="00C81B55"/>
    <w:pPr>
      <w:ind w:left="720"/>
      <w:outlineLvl w:val="7"/>
    </w:pPr>
    <w:rPr>
      <w:i/>
    </w:rPr>
  </w:style>
  <w:style w:type="paragraph" w:styleId="Heading9">
    <w:name w:val="heading 9"/>
    <w:basedOn w:val="Normal"/>
    <w:next w:val="Normal"/>
    <w:link w:val="Heading9Char"/>
    <w:qFormat/>
    <w:rsid w:val="00C81B55"/>
    <w:pPr>
      <w:ind w:left="720"/>
      <w:outlineLvl w:val="8"/>
    </w:pPr>
    <w:rPr>
      <w:i/>
    </w:rPr>
  </w:style>
  <w:style w:type="character" w:default="1" w:styleId="DefaultParagraphFont">
    <w:name w:val="Default Paragraph Font"/>
    <w:uiPriority w:val="1"/>
    <w:unhideWhenUsed/>
    <w:rsid w:val="00C81B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1B55"/>
  </w:style>
  <w:style w:type="character" w:customStyle="1" w:styleId="Heading1Char">
    <w:name w:val="Heading 1 Char"/>
    <w:basedOn w:val="DefaultParagraphFont"/>
    <w:link w:val="Heading1"/>
    <w:rsid w:val="00C81B55"/>
    <w:rPr>
      <w:rFonts w:ascii="Times New Roman" w:eastAsia="Times New Roman" w:hAnsi="Times New Roman" w:cs="Times New Roman"/>
      <w:b/>
      <w:sz w:val="32"/>
      <w:szCs w:val="20"/>
      <w:lang w:eastAsia="en-US"/>
    </w:rPr>
  </w:style>
  <w:style w:type="paragraph" w:styleId="BodyText">
    <w:name w:val="Body Text"/>
    <w:basedOn w:val="Normal"/>
    <w:link w:val="BodyTextChar"/>
    <w:rsid w:val="00C81B5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81B55"/>
    <w:rPr>
      <w:rFonts w:ascii="Times New Roman" w:eastAsia="Times New Roman" w:hAnsi="Times New Roman" w:cs="Times New Roman"/>
      <w:sz w:val="24"/>
      <w:lang w:eastAsia="en-US"/>
    </w:rPr>
  </w:style>
  <w:style w:type="paragraph" w:styleId="ListBullet">
    <w:name w:val="List Bullet"/>
    <w:basedOn w:val="List"/>
    <w:rsid w:val="00C81B55"/>
    <w:pPr>
      <w:numPr>
        <w:numId w:val="12"/>
      </w:numPr>
      <w:tabs>
        <w:tab w:val="clear" w:pos="340"/>
      </w:tabs>
      <w:spacing w:before="40" w:after="40"/>
    </w:pPr>
  </w:style>
  <w:style w:type="character" w:customStyle="1" w:styleId="SpecialBold">
    <w:name w:val="Special Bold"/>
    <w:basedOn w:val="DefaultParagraphFont"/>
    <w:rsid w:val="00C81B55"/>
    <w:rPr>
      <w:b/>
      <w:spacing w:val="0"/>
    </w:rPr>
  </w:style>
  <w:style w:type="paragraph" w:customStyle="1" w:styleId="SuperHeading">
    <w:name w:val="SuperHeading"/>
    <w:basedOn w:val="Normal"/>
    <w:rsid w:val="00C81B55"/>
    <w:pPr>
      <w:spacing w:before="240" w:after="120"/>
      <w:outlineLvl w:val="0"/>
    </w:pPr>
    <w:rPr>
      <w:rFonts w:ascii="Times New Roman" w:hAnsi="Times New Roman"/>
      <w:b/>
      <w:sz w:val="32"/>
    </w:rPr>
  </w:style>
  <w:style w:type="paragraph" w:customStyle="1" w:styleId="AllowPageBreak">
    <w:name w:val="AllowPageBreak"/>
    <w:rsid w:val="00C81B5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81B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1B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1B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1B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1B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1B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1B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1B55"/>
    <w:rPr>
      <w:rFonts w:ascii="Courier New" w:eastAsia="Times New Roman" w:hAnsi="Courier New" w:cs="Times New Roman"/>
      <w:i/>
      <w:szCs w:val="20"/>
      <w:lang w:eastAsia="en-US"/>
    </w:rPr>
  </w:style>
  <w:style w:type="paragraph" w:customStyle="1" w:styleId="HeadingBase">
    <w:name w:val="Heading Base"/>
    <w:rsid w:val="00C81B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1B55"/>
    <w:pPr>
      <w:tabs>
        <w:tab w:val="right" w:leader="dot" w:pos="9072"/>
      </w:tabs>
      <w:ind w:left="567"/>
    </w:pPr>
    <w:rPr>
      <w:szCs w:val="22"/>
    </w:rPr>
  </w:style>
  <w:style w:type="paragraph" w:customStyle="1" w:styleId="TOCBase">
    <w:name w:val="TOC Base"/>
    <w:rsid w:val="00C81B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1B55"/>
    <w:pPr>
      <w:tabs>
        <w:tab w:val="right" w:leader="dot" w:pos="9072"/>
      </w:tabs>
      <w:spacing w:before="40" w:after="40"/>
      <w:ind w:left="284"/>
    </w:pPr>
    <w:rPr>
      <w:rFonts w:ascii="Times New Roman" w:hAnsi="Times New Roman"/>
    </w:rPr>
  </w:style>
  <w:style w:type="paragraph" w:styleId="TOC1">
    <w:name w:val="toc 1"/>
    <w:basedOn w:val="TOCBase"/>
    <w:next w:val="Normal"/>
    <w:rsid w:val="00C81B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1B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1B55"/>
    <w:rPr>
      <w:rFonts w:ascii="Times New Roman" w:eastAsia="Times New Roman" w:hAnsi="Times New Roman" w:cs="Times New Roman"/>
      <w:sz w:val="16"/>
      <w:lang w:eastAsia="en-US"/>
    </w:rPr>
  </w:style>
  <w:style w:type="paragraph" w:styleId="Title">
    <w:name w:val="Title"/>
    <w:basedOn w:val="HeadingBase"/>
    <w:link w:val="TitleChar"/>
    <w:qFormat/>
    <w:rsid w:val="00C81B55"/>
    <w:pPr>
      <w:spacing w:before="5040"/>
      <w:jc w:val="center"/>
    </w:pPr>
    <w:rPr>
      <w:sz w:val="48"/>
      <w:szCs w:val="72"/>
      <w:lang w:val="en-US"/>
    </w:rPr>
  </w:style>
  <w:style w:type="character" w:customStyle="1" w:styleId="TitleChar">
    <w:name w:val="Title Char"/>
    <w:basedOn w:val="DefaultParagraphFont"/>
    <w:link w:val="Title"/>
    <w:rsid w:val="00C81B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1B55"/>
    <w:pPr>
      <w:tabs>
        <w:tab w:val="left" w:pos="3600"/>
        <w:tab w:val="left" w:pos="3958"/>
      </w:tabs>
    </w:pPr>
  </w:style>
  <w:style w:type="paragraph" w:styleId="List">
    <w:name w:val="List"/>
    <w:basedOn w:val="BodyText"/>
    <w:next w:val="BodyText"/>
    <w:rsid w:val="00C81B55"/>
    <w:pPr>
      <w:tabs>
        <w:tab w:val="left" w:pos="340"/>
      </w:tabs>
      <w:spacing w:before="60" w:after="60"/>
      <w:ind w:left="340" w:hanging="340"/>
    </w:pPr>
  </w:style>
  <w:style w:type="paragraph" w:customStyle="1" w:styleId="Note">
    <w:name w:val="Note"/>
    <w:basedOn w:val="BodyText"/>
    <w:rsid w:val="00C81B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1B55"/>
    <w:pPr>
      <w:framePr w:wrap="auto" w:hAnchor="text" w:y="6049"/>
    </w:pPr>
    <w:rPr>
      <w:color w:val="000000"/>
      <w:sz w:val="40"/>
    </w:rPr>
  </w:style>
  <w:style w:type="paragraph" w:customStyle="1" w:styleId="TOCTitle">
    <w:name w:val="TOCTitle"/>
    <w:basedOn w:val="Heading1"/>
    <w:rsid w:val="00C81B55"/>
    <w:pPr>
      <w:spacing w:after="240"/>
      <w:jc w:val="center"/>
      <w:outlineLvl w:val="9"/>
    </w:pPr>
    <w:rPr>
      <w:caps/>
    </w:rPr>
  </w:style>
  <w:style w:type="paragraph" w:customStyle="1" w:styleId="Version">
    <w:name w:val="Version"/>
    <w:rsid w:val="00C81B5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81B55"/>
    <w:pPr>
      <w:numPr>
        <w:numId w:val="13"/>
      </w:numPr>
      <w:tabs>
        <w:tab w:val="clear" w:pos="680"/>
      </w:tabs>
    </w:pPr>
  </w:style>
  <w:style w:type="paragraph" w:styleId="Index1">
    <w:name w:val="index 1"/>
    <w:basedOn w:val="Normal"/>
    <w:next w:val="Normal"/>
    <w:semiHidden/>
    <w:rsid w:val="00C81B55"/>
    <w:pPr>
      <w:keepNext w:val="0"/>
      <w:tabs>
        <w:tab w:val="right" w:pos="4176"/>
      </w:tabs>
      <w:ind w:left="198" w:hanging="198"/>
    </w:pPr>
    <w:rPr>
      <w:rFonts w:ascii="Garamond" w:hAnsi="Garamond"/>
    </w:rPr>
  </w:style>
  <w:style w:type="paragraph" w:styleId="IndexHeading">
    <w:name w:val="index heading"/>
    <w:basedOn w:val="Normal"/>
    <w:next w:val="Index1"/>
    <w:semiHidden/>
    <w:rsid w:val="00C81B55"/>
    <w:pPr>
      <w:spacing w:before="120" w:after="120"/>
    </w:pPr>
    <w:rPr>
      <w:rFonts w:ascii="Arial" w:hAnsi="Arial"/>
      <w:b/>
      <w:color w:val="918585"/>
      <w:sz w:val="24"/>
    </w:rPr>
  </w:style>
  <w:style w:type="paragraph" w:styleId="Header">
    <w:name w:val="header"/>
    <w:basedOn w:val="Normal"/>
    <w:link w:val="HeaderChar"/>
    <w:rsid w:val="00C81B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1B55"/>
    <w:rPr>
      <w:rFonts w:ascii="Times New Roman" w:eastAsia="Times New Roman" w:hAnsi="Times New Roman" w:cs="Times New Roman"/>
      <w:sz w:val="16"/>
      <w:szCs w:val="20"/>
      <w:lang w:val="en-GB" w:eastAsia="en-US"/>
    </w:rPr>
  </w:style>
  <w:style w:type="paragraph" w:customStyle="1" w:styleId="Chapter">
    <w:name w:val="Chapter"/>
    <w:basedOn w:val="Normal"/>
    <w:rsid w:val="00C81B55"/>
    <w:pPr>
      <w:spacing w:before="240"/>
    </w:pPr>
    <w:rPr>
      <w:rFonts w:ascii="Times New Roman" w:hAnsi="Times New Roman"/>
      <w:smallCaps/>
      <w:spacing w:val="80"/>
      <w:sz w:val="28"/>
    </w:rPr>
  </w:style>
  <w:style w:type="paragraph" w:customStyle="1" w:styleId="InChapter">
    <w:name w:val="InChapter"/>
    <w:basedOn w:val="Heading3"/>
    <w:rsid w:val="00C81B55"/>
    <w:pPr>
      <w:spacing w:after="240"/>
      <w:outlineLvl w:val="9"/>
    </w:pPr>
    <w:rPr>
      <w:noProof/>
    </w:rPr>
  </w:style>
  <w:style w:type="paragraph" w:styleId="Index2">
    <w:name w:val="index 2"/>
    <w:basedOn w:val="Normal"/>
    <w:next w:val="Normal"/>
    <w:semiHidden/>
    <w:rsid w:val="00C81B55"/>
    <w:pPr>
      <w:tabs>
        <w:tab w:val="right" w:pos="4176"/>
      </w:tabs>
      <w:ind w:left="568" w:hanging="284"/>
    </w:pPr>
    <w:rPr>
      <w:rFonts w:ascii="Garamond" w:hAnsi="Garamond"/>
    </w:rPr>
  </w:style>
  <w:style w:type="paragraph" w:customStyle="1" w:styleId="Byline">
    <w:name w:val="Byline"/>
    <w:rsid w:val="00C81B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1B55"/>
    <w:pPr>
      <w:tabs>
        <w:tab w:val="clear" w:pos="3600"/>
        <w:tab w:val="clear" w:pos="3958"/>
      </w:tabs>
      <w:jc w:val="right"/>
    </w:pPr>
  </w:style>
  <w:style w:type="character" w:styleId="Emphasis">
    <w:name w:val="Emphasis"/>
    <w:basedOn w:val="DefaultParagraphFont"/>
    <w:qFormat/>
    <w:rsid w:val="00C81B55"/>
    <w:rPr>
      <w:i/>
    </w:rPr>
  </w:style>
  <w:style w:type="paragraph" w:styleId="Caption">
    <w:name w:val="caption"/>
    <w:basedOn w:val="BodyText"/>
    <w:next w:val="Normal"/>
    <w:qFormat/>
    <w:rsid w:val="00C81B55"/>
    <w:pPr>
      <w:framePr w:w="2268" w:hSpace="181" w:vSpace="181" w:wrap="around" w:vAnchor="text" w:hAnchor="page" w:x="1135" w:y="285" w:anchorLock="1"/>
    </w:pPr>
    <w:rPr>
      <w:i/>
    </w:rPr>
  </w:style>
  <w:style w:type="paragraph" w:customStyle="1" w:styleId="MiniTOCTitle">
    <w:name w:val="MiniTOCTitle"/>
    <w:basedOn w:val="Heading4"/>
    <w:rsid w:val="00C81B55"/>
    <w:pPr>
      <w:spacing w:before="240"/>
      <w:outlineLvl w:val="9"/>
    </w:pPr>
    <w:rPr>
      <w:noProof/>
      <w:sz w:val="24"/>
    </w:rPr>
  </w:style>
  <w:style w:type="paragraph" w:customStyle="1" w:styleId="MiniTOCItem">
    <w:name w:val="MiniTOCItem"/>
    <w:basedOn w:val="ListBullet"/>
    <w:rsid w:val="00C81B55"/>
    <w:pPr>
      <w:numPr>
        <w:numId w:val="0"/>
      </w:numPr>
      <w:tabs>
        <w:tab w:val="right" w:leader="dot" w:pos="6521"/>
      </w:tabs>
      <w:spacing w:before="0" w:after="0"/>
    </w:pPr>
  </w:style>
  <w:style w:type="paragraph" w:customStyle="1" w:styleId="TOFTitle">
    <w:name w:val="TOFTitle"/>
    <w:basedOn w:val="TOCTitle"/>
    <w:rsid w:val="00C81B55"/>
  </w:style>
  <w:style w:type="paragraph" w:styleId="TableofFigures">
    <w:name w:val="table of figures"/>
    <w:basedOn w:val="Normal"/>
    <w:next w:val="Normal"/>
    <w:semiHidden/>
    <w:rsid w:val="00C81B55"/>
    <w:pPr>
      <w:tabs>
        <w:tab w:val="right" w:leader="dot" w:pos="9072"/>
      </w:tabs>
      <w:ind w:left="970" w:hanging="403"/>
    </w:pPr>
    <w:rPr>
      <w:rFonts w:ascii="Times New Roman" w:hAnsi="Times New Roman"/>
      <w:b/>
    </w:rPr>
  </w:style>
  <w:style w:type="paragraph" w:styleId="ListNumber">
    <w:name w:val="List Number"/>
    <w:basedOn w:val="List"/>
    <w:rsid w:val="00C81B55"/>
    <w:pPr>
      <w:numPr>
        <w:numId w:val="10"/>
      </w:numPr>
    </w:pPr>
  </w:style>
  <w:style w:type="character" w:customStyle="1" w:styleId="WingdingSymbols">
    <w:name w:val="Wingding Symbols"/>
    <w:rsid w:val="00C81B55"/>
    <w:rPr>
      <w:rFonts w:ascii="Wingdings" w:hAnsi="Wingdings"/>
    </w:rPr>
  </w:style>
  <w:style w:type="paragraph" w:customStyle="1" w:styleId="TableHeading">
    <w:name w:val="Table Heading"/>
    <w:basedOn w:val="HeadingBase"/>
    <w:rsid w:val="00C81B55"/>
    <w:pPr>
      <w:keepLines/>
      <w:pBdr>
        <w:bottom w:val="single" w:sz="6" w:space="1" w:color="918585"/>
      </w:pBdr>
      <w:spacing w:before="240"/>
    </w:pPr>
  </w:style>
  <w:style w:type="character" w:customStyle="1" w:styleId="HotSpot">
    <w:name w:val="HotSpot"/>
    <w:rsid w:val="00C81B55"/>
    <w:rPr>
      <w:color w:val="0033CC"/>
      <w:u w:val="none"/>
    </w:rPr>
  </w:style>
  <w:style w:type="paragraph" w:customStyle="1" w:styleId="BodyTextRight">
    <w:name w:val="Body Text Right"/>
    <w:basedOn w:val="BodyText"/>
    <w:rsid w:val="00C81B55"/>
    <w:pPr>
      <w:spacing w:before="0" w:after="0"/>
      <w:jc w:val="right"/>
    </w:pPr>
  </w:style>
  <w:style w:type="paragraph" w:styleId="Index3">
    <w:name w:val="index 3"/>
    <w:basedOn w:val="ListNumber2"/>
    <w:next w:val="Normal"/>
    <w:semiHidden/>
    <w:rsid w:val="00C81B55"/>
    <w:pPr>
      <w:numPr>
        <w:numId w:val="0"/>
      </w:numPr>
      <w:tabs>
        <w:tab w:val="right" w:leader="dot" w:pos="4176"/>
      </w:tabs>
    </w:pPr>
  </w:style>
  <w:style w:type="paragraph" w:styleId="ListNumber2">
    <w:name w:val="List Number 2"/>
    <w:basedOn w:val="List2"/>
    <w:rsid w:val="00C81B55"/>
    <w:pPr>
      <w:numPr>
        <w:numId w:val="9"/>
      </w:numPr>
      <w:tabs>
        <w:tab w:val="clear" w:pos="1060"/>
      </w:tabs>
    </w:pPr>
  </w:style>
  <w:style w:type="paragraph" w:customStyle="1" w:styleId="MarginNote">
    <w:name w:val="Margin Note"/>
    <w:basedOn w:val="BodyText"/>
    <w:rsid w:val="00C81B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1B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1B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1B55"/>
    <w:rPr>
      <w:sz w:val="32"/>
    </w:rPr>
  </w:style>
  <w:style w:type="paragraph" w:customStyle="1" w:styleId="HeadingProcedure">
    <w:name w:val="Heading Procedure"/>
    <w:basedOn w:val="HeadingBase"/>
    <w:next w:val="Normal"/>
    <w:rsid w:val="00C81B55"/>
    <w:pPr>
      <w:tabs>
        <w:tab w:val="left" w:pos="0"/>
      </w:tabs>
      <w:spacing w:before="120" w:after="60"/>
    </w:pPr>
    <w:rPr>
      <w:i/>
      <w:color w:val="918585"/>
      <w:sz w:val="22"/>
    </w:rPr>
  </w:style>
  <w:style w:type="paragraph" w:customStyle="1" w:styleId="TableBodyText">
    <w:name w:val="Table Body Text"/>
    <w:basedOn w:val="BodyText"/>
    <w:rsid w:val="00C81B55"/>
    <w:pPr>
      <w:spacing w:before="60" w:after="60"/>
    </w:pPr>
  </w:style>
  <w:style w:type="paragraph" w:styleId="ListContinue">
    <w:name w:val="List Continue"/>
    <w:basedOn w:val="List"/>
    <w:rsid w:val="00C81B55"/>
    <w:pPr>
      <w:ind w:firstLine="0"/>
    </w:pPr>
  </w:style>
  <w:style w:type="paragraph" w:customStyle="1" w:styleId="ListNote">
    <w:name w:val="List Note"/>
    <w:basedOn w:val="List"/>
    <w:rsid w:val="00C81B55"/>
    <w:pPr>
      <w:pBdr>
        <w:top w:val="single" w:sz="6" w:space="2" w:color="918585"/>
        <w:bottom w:val="single" w:sz="6" w:space="2" w:color="918585"/>
      </w:pBdr>
      <w:tabs>
        <w:tab w:val="left" w:pos="1021"/>
      </w:tabs>
      <w:ind w:firstLine="0"/>
    </w:pPr>
  </w:style>
  <w:style w:type="paragraph" w:customStyle="1" w:styleId="Warning">
    <w:name w:val="Warning"/>
    <w:basedOn w:val="BodyText"/>
    <w:rsid w:val="00C81B55"/>
    <w:pPr>
      <w:shd w:val="clear" w:color="auto" w:fill="D9D9D9"/>
      <w:tabs>
        <w:tab w:val="left" w:pos="992"/>
      </w:tabs>
      <w:ind w:left="119" w:right="119"/>
    </w:pPr>
    <w:rPr>
      <w:sz w:val="20"/>
    </w:rPr>
  </w:style>
  <w:style w:type="paragraph" w:customStyle="1" w:styleId="MarginIcons">
    <w:name w:val="Margin Icons"/>
    <w:basedOn w:val="BodyText"/>
    <w:rsid w:val="00C81B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1B55"/>
    <w:rPr>
      <w:rFonts w:ascii="Courier New" w:hAnsi="Courier New"/>
    </w:rPr>
  </w:style>
  <w:style w:type="paragraph" w:customStyle="1" w:styleId="NoteBullet">
    <w:name w:val="Note Bullet"/>
    <w:basedOn w:val="Note"/>
    <w:rsid w:val="00C81B55"/>
    <w:pPr>
      <w:tabs>
        <w:tab w:val="clear" w:pos="680"/>
      </w:tabs>
      <w:spacing w:before="60" w:after="60"/>
    </w:pPr>
  </w:style>
  <w:style w:type="paragraph" w:customStyle="1" w:styleId="SubHeading2">
    <w:name w:val="SubHeading2"/>
    <w:basedOn w:val="HeadingBase"/>
    <w:rsid w:val="00C81B55"/>
    <w:pPr>
      <w:spacing w:before="240" w:after="60"/>
    </w:pPr>
    <w:rPr>
      <w:sz w:val="20"/>
    </w:rPr>
  </w:style>
  <w:style w:type="paragraph" w:customStyle="1" w:styleId="SubHeading1">
    <w:name w:val="SubHeading1"/>
    <w:basedOn w:val="HeadingBase"/>
    <w:rsid w:val="00C81B55"/>
    <w:pPr>
      <w:spacing w:before="240" w:after="60"/>
    </w:pPr>
    <w:rPr>
      <w:color w:val="918585"/>
      <w:sz w:val="22"/>
    </w:rPr>
  </w:style>
  <w:style w:type="paragraph" w:customStyle="1" w:styleId="SideHeading">
    <w:name w:val="Side Heading"/>
    <w:basedOn w:val="HeadingBase"/>
    <w:rsid w:val="00C81B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1B55"/>
    <w:pPr>
      <w:tabs>
        <w:tab w:val="num" w:pos="360"/>
      </w:tabs>
    </w:pPr>
  </w:style>
  <w:style w:type="paragraph" w:styleId="PlainText">
    <w:name w:val="Plain Text"/>
    <w:basedOn w:val="Normal"/>
    <w:link w:val="PlainTextChar"/>
    <w:rsid w:val="00C81B55"/>
    <w:rPr>
      <w:sz w:val="20"/>
    </w:rPr>
  </w:style>
  <w:style w:type="character" w:customStyle="1" w:styleId="PlainTextChar">
    <w:name w:val="Plain Text Char"/>
    <w:basedOn w:val="DefaultParagraphFont"/>
    <w:link w:val="PlainText"/>
    <w:rsid w:val="00C81B55"/>
    <w:rPr>
      <w:rFonts w:ascii="Courier New" w:eastAsia="Times New Roman" w:hAnsi="Courier New" w:cs="Times New Roman"/>
      <w:sz w:val="20"/>
      <w:szCs w:val="20"/>
      <w:lang w:eastAsia="en-US"/>
    </w:rPr>
  </w:style>
  <w:style w:type="character" w:customStyle="1" w:styleId="MenuOption">
    <w:name w:val="Menu Option"/>
    <w:basedOn w:val="DefaultParagraphFont"/>
    <w:rsid w:val="00C81B55"/>
    <w:rPr>
      <w:b/>
      <w:smallCaps/>
    </w:rPr>
  </w:style>
  <w:style w:type="paragraph" w:customStyle="1" w:styleId="TableListNumber">
    <w:name w:val="Table List Number"/>
    <w:basedOn w:val="ListNumber"/>
    <w:rsid w:val="00C81B55"/>
    <w:pPr>
      <w:numPr>
        <w:numId w:val="0"/>
      </w:numPr>
    </w:pPr>
  </w:style>
  <w:style w:type="paragraph" w:styleId="TOC4">
    <w:name w:val="toc 4"/>
    <w:basedOn w:val="TOCBase"/>
    <w:next w:val="Normal"/>
    <w:semiHidden/>
    <w:rsid w:val="00C81B55"/>
    <w:pPr>
      <w:tabs>
        <w:tab w:val="right" w:leader="dot" w:pos="9071"/>
      </w:tabs>
      <w:ind w:left="1701"/>
    </w:pPr>
  </w:style>
  <w:style w:type="paragraph" w:customStyle="1" w:styleId="ListAlpha">
    <w:name w:val="List Alpha"/>
    <w:basedOn w:val="List"/>
    <w:rsid w:val="00C81B55"/>
    <w:pPr>
      <w:numPr>
        <w:numId w:val="8"/>
      </w:numPr>
    </w:pPr>
  </w:style>
  <w:style w:type="paragraph" w:customStyle="1" w:styleId="ListAlpha2">
    <w:name w:val="List Alpha 2"/>
    <w:basedOn w:val="List2"/>
    <w:rsid w:val="00C81B55"/>
    <w:pPr>
      <w:numPr>
        <w:numId w:val="7"/>
      </w:numPr>
    </w:pPr>
  </w:style>
  <w:style w:type="paragraph" w:styleId="List2">
    <w:name w:val="List 2"/>
    <w:basedOn w:val="BodyText"/>
    <w:rsid w:val="00C81B55"/>
    <w:pPr>
      <w:tabs>
        <w:tab w:val="left" w:pos="680"/>
      </w:tabs>
      <w:spacing w:before="60" w:after="60"/>
      <w:ind w:left="680" w:hanging="340"/>
    </w:pPr>
  </w:style>
  <w:style w:type="paragraph" w:styleId="List3">
    <w:name w:val="List 3"/>
    <w:basedOn w:val="BodyText"/>
    <w:rsid w:val="00C81B55"/>
    <w:pPr>
      <w:tabs>
        <w:tab w:val="left" w:pos="1021"/>
      </w:tabs>
      <w:spacing w:before="60" w:after="60"/>
      <w:ind w:left="1020" w:hanging="340"/>
    </w:pPr>
  </w:style>
  <w:style w:type="paragraph" w:styleId="List4">
    <w:name w:val="List 4"/>
    <w:basedOn w:val="BodyText"/>
    <w:rsid w:val="00C81B55"/>
    <w:pPr>
      <w:tabs>
        <w:tab w:val="left" w:pos="1361"/>
      </w:tabs>
      <w:spacing w:before="60" w:after="60"/>
      <w:ind w:left="1361" w:hanging="340"/>
    </w:pPr>
  </w:style>
  <w:style w:type="paragraph" w:styleId="List5">
    <w:name w:val="List 5"/>
    <w:basedOn w:val="BodyText"/>
    <w:rsid w:val="00C81B55"/>
    <w:pPr>
      <w:tabs>
        <w:tab w:val="left" w:pos="1701"/>
      </w:tabs>
      <w:spacing w:before="60" w:after="60"/>
      <w:ind w:left="1701" w:hanging="340"/>
    </w:pPr>
  </w:style>
  <w:style w:type="paragraph" w:styleId="ListBullet3">
    <w:name w:val="List Bullet 3"/>
    <w:basedOn w:val="List3"/>
    <w:rsid w:val="00C81B55"/>
    <w:pPr>
      <w:numPr>
        <w:numId w:val="14"/>
      </w:numPr>
      <w:tabs>
        <w:tab w:val="clear" w:pos="1021"/>
      </w:tabs>
      <w:ind w:left="1037" w:hanging="357"/>
    </w:pPr>
  </w:style>
  <w:style w:type="paragraph" w:styleId="ListBullet4">
    <w:name w:val="List Bullet 4"/>
    <w:basedOn w:val="List4"/>
    <w:rsid w:val="00C81B55"/>
    <w:pPr>
      <w:numPr>
        <w:numId w:val="2"/>
      </w:numPr>
      <w:tabs>
        <w:tab w:val="clear" w:pos="1361"/>
      </w:tabs>
    </w:pPr>
  </w:style>
  <w:style w:type="paragraph" w:styleId="ListBullet5">
    <w:name w:val="List Bullet 5"/>
    <w:basedOn w:val="List5"/>
    <w:rsid w:val="00C81B55"/>
    <w:pPr>
      <w:numPr>
        <w:numId w:val="3"/>
      </w:numPr>
    </w:pPr>
  </w:style>
  <w:style w:type="paragraph" w:styleId="ListContinue2">
    <w:name w:val="List Continue 2"/>
    <w:basedOn w:val="List2"/>
    <w:rsid w:val="00C81B55"/>
    <w:pPr>
      <w:ind w:firstLine="0"/>
    </w:pPr>
  </w:style>
  <w:style w:type="paragraph" w:styleId="ListContinue3">
    <w:name w:val="List Continue 3"/>
    <w:basedOn w:val="List3"/>
    <w:rsid w:val="00C81B55"/>
    <w:pPr>
      <w:ind w:left="1021" w:firstLine="0"/>
    </w:pPr>
  </w:style>
  <w:style w:type="paragraph" w:styleId="ListContinue4">
    <w:name w:val="List Continue 4"/>
    <w:basedOn w:val="List4"/>
    <w:rsid w:val="00C81B55"/>
    <w:pPr>
      <w:ind w:firstLine="0"/>
    </w:pPr>
  </w:style>
  <w:style w:type="paragraph" w:styleId="ListContinue5">
    <w:name w:val="List Continue 5"/>
    <w:basedOn w:val="List5"/>
    <w:rsid w:val="00C81B55"/>
    <w:pPr>
      <w:ind w:firstLine="0"/>
    </w:pPr>
  </w:style>
  <w:style w:type="paragraph" w:styleId="ListNumber3">
    <w:name w:val="List Number 3"/>
    <w:basedOn w:val="List3"/>
    <w:rsid w:val="00C81B55"/>
    <w:pPr>
      <w:numPr>
        <w:numId w:val="4"/>
      </w:numPr>
    </w:pPr>
  </w:style>
  <w:style w:type="paragraph" w:styleId="ListNumber4">
    <w:name w:val="List Number 4"/>
    <w:basedOn w:val="List4"/>
    <w:rsid w:val="00C81B55"/>
    <w:pPr>
      <w:numPr>
        <w:numId w:val="5"/>
      </w:numPr>
    </w:pPr>
  </w:style>
  <w:style w:type="paragraph" w:styleId="ListNumber5">
    <w:name w:val="List Number 5"/>
    <w:basedOn w:val="List5"/>
    <w:rsid w:val="00C81B55"/>
    <w:pPr>
      <w:numPr>
        <w:numId w:val="6"/>
      </w:numPr>
    </w:pPr>
  </w:style>
  <w:style w:type="paragraph" w:styleId="BlockText">
    <w:name w:val="Block Text"/>
    <w:basedOn w:val="Normal"/>
    <w:rsid w:val="00C81B55"/>
    <w:pPr>
      <w:spacing w:after="120"/>
      <w:ind w:left="1440" w:right="1440"/>
    </w:pPr>
  </w:style>
  <w:style w:type="character" w:customStyle="1" w:styleId="Subscript">
    <w:name w:val="Subscript"/>
    <w:basedOn w:val="DefaultParagraphFont"/>
    <w:rsid w:val="00C81B55"/>
    <w:rPr>
      <w:sz w:val="16"/>
      <w:vertAlign w:val="subscript"/>
    </w:rPr>
  </w:style>
  <w:style w:type="character" w:customStyle="1" w:styleId="Superscript">
    <w:name w:val="Superscript"/>
    <w:basedOn w:val="DefaultParagraphFont"/>
    <w:rsid w:val="00C81B55"/>
    <w:rPr>
      <w:sz w:val="16"/>
      <w:vertAlign w:val="superscript"/>
    </w:rPr>
  </w:style>
  <w:style w:type="character" w:customStyle="1" w:styleId="Symbols">
    <w:name w:val="Symbols"/>
    <w:basedOn w:val="DefaultParagraphFont"/>
    <w:rsid w:val="00C81B55"/>
    <w:rPr>
      <w:rFonts w:ascii="Symbol" w:hAnsi="Symbol"/>
    </w:rPr>
  </w:style>
  <w:style w:type="character" w:customStyle="1" w:styleId="MenuOptions">
    <w:name w:val="Menu Options"/>
    <w:basedOn w:val="DefaultParagraphFont"/>
    <w:rsid w:val="00C81B55"/>
    <w:rPr>
      <w:rFonts w:ascii="Arial Narrow" w:hAnsi="Arial Narrow"/>
      <w:smallCaps/>
    </w:rPr>
  </w:style>
  <w:style w:type="character" w:customStyle="1" w:styleId="Buttons">
    <w:name w:val="Buttons"/>
    <w:basedOn w:val="DefaultParagraphFont"/>
    <w:rsid w:val="00C81B55"/>
    <w:rPr>
      <w:b/>
    </w:rPr>
  </w:style>
  <w:style w:type="character" w:customStyle="1" w:styleId="Underlined">
    <w:name w:val="Underlined"/>
    <w:basedOn w:val="DefaultParagraphFont"/>
    <w:rsid w:val="00C81B55"/>
    <w:rPr>
      <w:u w:val="single"/>
    </w:rPr>
  </w:style>
  <w:style w:type="paragraph" w:customStyle="1" w:styleId="TableBodyTextRight">
    <w:name w:val="Table Body Text Right"/>
    <w:basedOn w:val="TableBodyText"/>
    <w:rsid w:val="00C81B55"/>
    <w:pPr>
      <w:widowControl w:val="0"/>
      <w:autoSpaceDE w:val="0"/>
      <w:autoSpaceDN w:val="0"/>
      <w:adjustRightInd w:val="0"/>
      <w:jc w:val="right"/>
    </w:pPr>
    <w:rPr>
      <w:rFonts w:cs="Arial"/>
      <w:szCs w:val="18"/>
    </w:rPr>
  </w:style>
  <w:style w:type="paragraph" w:customStyle="1" w:styleId="CopyrightText">
    <w:name w:val="Copyright Text"/>
    <w:basedOn w:val="BodyText"/>
    <w:rsid w:val="00C81B55"/>
    <w:rPr>
      <w:sz w:val="18"/>
    </w:rPr>
  </w:style>
  <w:style w:type="paragraph" w:customStyle="1" w:styleId="BodySmallRight">
    <w:name w:val="Body Small Right"/>
    <w:basedOn w:val="BodyTextRight"/>
    <w:rsid w:val="00C81B55"/>
    <w:rPr>
      <w:sz w:val="18"/>
      <w:szCs w:val="18"/>
    </w:rPr>
  </w:style>
  <w:style w:type="paragraph" w:customStyle="1" w:styleId="MarginEdition">
    <w:name w:val="Margin Edition"/>
    <w:basedOn w:val="MarginNote"/>
    <w:rsid w:val="00C81B55"/>
    <w:pPr>
      <w:spacing w:before="0" w:after="0"/>
    </w:pPr>
    <w:rPr>
      <w:rFonts w:ascii="Times New Roman" w:hAnsi="Times New Roman"/>
      <w:color w:val="999999"/>
    </w:rPr>
  </w:style>
  <w:style w:type="paragraph" w:customStyle="1" w:styleId="Spacer">
    <w:name w:val="Spacer"/>
    <w:basedOn w:val="Normal"/>
    <w:rsid w:val="00C81B55"/>
    <w:rPr>
      <w:sz w:val="2"/>
      <w:szCs w:val="2"/>
    </w:rPr>
  </w:style>
  <w:style w:type="character" w:customStyle="1" w:styleId="Small">
    <w:name w:val="Small"/>
    <w:basedOn w:val="DefaultParagraphFont"/>
    <w:rsid w:val="00C81B55"/>
    <w:rPr>
      <w:sz w:val="16"/>
    </w:rPr>
  </w:style>
  <w:style w:type="paragraph" w:customStyle="1" w:styleId="WideTable">
    <w:name w:val="Wide Table"/>
    <w:basedOn w:val="Normal"/>
    <w:rsid w:val="00C81B55"/>
    <w:pPr>
      <w:ind w:left="-1418"/>
    </w:pPr>
    <w:rPr>
      <w:sz w:val="2"/>
      <w:szCs w:val="2"/>
    </w:rPr>
  </w:style>
  <w:style w:type="character" w:styleId="PageNumber">
    <w:name w:val="page number"/>
    <w:basedOn w:val="DefaultParagraphFont"/>
    <w:rsid w:val="00C81B55"/>
  </w:style>
  <w:style w:type="paragraph" w:styleId="Quote">
    <w:name w:val="Quote"/>
    <w:basedOn w:val="Heading1"/>
    <w:link w:val="QuoteChar"/>
    <w:qFormat/>
    <w:rsid w:val="00C81B55"/>
    <w:rPr>
      <w:b w:val="0"/>
      <w:sz w:val="72"/>
      <w:szCs w:val="72"/>
      <w:lang w:val="en-NZ"/>
    </w:rPr>
  </w:style>
  <w:style w:type="character" w:customStyle="1" w:styleId="QuoteChar">
    <w:name w:val="Quote Char"/>
    <w:basedOn w:val="DefaultParagraphFont"/>
    <w:link w:val="Quote"/>
    <w:rsid w:val="00C81B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1B55"/>
    <w:pPr>
      <w:pageBreakBefore/>
    </w:pPr>
  </w:style>
  <w:style w:type="paragraph" w:customStyle="1" w:styleId="Border">
    <w:name w:val="Border"/>
    <w:basedOn w:val="Normal"/>
    <w:qFormat/>
    <w:rsid w:val="00C81B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1B55"/>
    <w:rPr>
      <w:b/>
      <w:bCs/>
      <w:i/>
      <w:iCs/>
      <w:color w:val="auto"/>
    </w:rPr>
  </w:style>
  <w:style w:type="paragraph" w:styleId="IntenseQuote">
    <w:name w:val="Intense Quote"/>
    <w:basedOn w:val="Normal"/>
    <w:next w:val="Normal"/>
    <w:link w:val="IntenseQuoteChar"/>
    <w:uiPriority w:val="30"/>
    <w:qFormat/>
    <w:rsid w:val="00C81B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1B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1B55"/>
    <w:rPr>
      <w:smallCaps/>
      <w:color w:val="auto"/>
      <w:u w:val="single"/>
    </w:rPr>
  </w:style>
  <w:style w:type="character" w:styleId="IntenseReference">
    <w:name w:val="Intense Reference"/>
    <w:basedOn w:val="DefaultParagraphFont"/>
    <w:uiPriority w:val="32"/>
    <w:qFormat/>
    <w:rsid w:val="00C81B55"/>
    <w:rPr>
      <w:b/>
      <w:bCs/>
      <w:smallCaps/>
      <w:color w:val="auto"/>
      <w:spacing w:val="5"/>
      <w:u w:val="single"/>
    </w:rPr>
  </w:style>
  <w:style w:type="paragraph" w:customStyle="1" w:styleId="2ColumnHeading">
    <w:name w:val="2Column Heading"/>
    <w:basedOn w:val="BodyText"/>
    <w:qFormat/>
    <w:rsid w:val="00C81B55"/>
    <w:pPr>
      <w:spacing w:after="60"/>
      <w:ind w:left="-2268"/>
    </w:pPr>
    <w:rPr>
      <w:b/>
    </w:rPr>
  </w:style>
  <w:style w:type="paragraph" w:customStyle="1" w:styleId="Heading1TOC">
    <w:name w:val="Heading1 TOC"/>
    <w:basedOn w:val="Normal"/>
    <w:qFormat/>
    <w:rsid w:val="00C81B55"/>
    <w:pPr>
      <w:spacing w:before="240" w:after="120"/>
    </w:pPr>
    <w:rPr>
      <w:rFonts w:ascii="Times New Roman" w:hAnsi="Times New Roman"/>
      <w:b/>
      <w:sz w:val="32"/>
    </w:rPr>
  </w:style>
  <w:style w:type="paragraph" w:customStyle="1" w:styleId="Heading2TOC">
    <w:name w:val="Heading2 TOC"/>
    <w:basedOn w:val="Normal"/>
    <w:qFormat/>
    <w:rsid w:val="00C81B55"/>
    <w:pPr>
      <w:spacing w:before="240" w:after="60"/>
    </w:pPr>
    <w:rPr>
      <w:rFonts w:ascii="Times New Roman" w:hAnsi="Times New Roman"/>
      <w:b/>
      <w:sz w:val="28"/>
    </w:rPr>
  </w:style>
  <w:style w:type="character" w:customStyle="1" w:styleId="Underline">
    <w:name w:val="Underline"/>
    <w:basedOn w:val="DefaultParagraphFont"/>
    <w:qFormat/>
    <w:rsid w:val="00C81B55"/>
    <w:rPr>
      <w:u w:val="single"/>
    </w:rPr>
  </w:style>
  <w:style w:type="character" w:customStyle="1" w:styleId="BoldandItalics">
    <w:name w:val="Bold and Italics"/>
    <w:qFormat/>
    <w:rsid w:val="00C81B55"/>
    <w:rPr>
      <w:b/>
      <w:i/>
      <w:u w:val="none"/>
    </w:rPr>
  </w:style>
  <w:style w:type="paragraph" w:styleId="BalloonText">
    <w:name w:val="Balloon Text"/>
    <w:basedOn w:val="Normal"/>
    <w:link w:val="BalloonTextChar"/>
    <w:rsid w:val="00C81B55"/>
    <w:rPr>
      <w:rFonts w:ascii="Tahoma" w:hAnsi="Tahoma" w:cs="Tahoma"/>
      <w:sz w:val="16"/>
      <w:szCs w:val="16"/>
    </w:rPr>
  </w:style>
  <w:style w:type="character" w:customStyle="1" w:styleId="BalloonTextChar">
    <w:name w:val="Balloon Text Char"/>
    <w:basedOn w:val="DefaultParagraphFont"/>
    <w:link w:val="BalloonText"/>
    <w:rsid w:val="00C81B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1B5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81B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1B55"/>
    <w:rPr>
      <w:b/>
      <w:color w:val="660033"/>
      <w:spacing w:val="0"/>
    </w:rPr>
  </w:style>
  <w:style w:type="paragraph" w:customStyle="1" w:styleId="Nameditemlist">
    <w:name w:val="Named item list"/>
    <w:basedOn w:val="BodyText"/>
    <w:qFormat/>
    <w:rsid w:val="00C81B5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810</Words>
  <Characters>5193</Characters>
  <Application>Microsoft Office Word</Application>
  <DocSecurity>0</DocSecurity>
  <Lines>243</Lines>
  <Paragraphs>136</Paragraphs>
  <ScaleCrop>false</ScaleCrop>
  <Company>Author-it Software Corporation Ltd.</Company>
  <LinksUpToDate>false</LinksUpToDate>
  <CharactersWithSpaces>5956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MSFFL3012 Install linoleum floor coverings</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2016-12-09T03:59:00Z</dcterms:created>
  <dcterms:modified xsi:type="dcterms:W3CDTF">2016-12-09T03:59:00Z</dcterms:modified>
</cp:coreProperties>
</file>