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473" w:rsidP="006D7473">
      <w:pPr>
        <w:pStyle w:val="Title"/>
      </w:pPr>
      <w:r>
        <w:fldChar w:fldCharType="begin"/>
      </w:r>
      <w:r>
        <w:instrText xml:space="preserve"> TITLE   \* MERGEFORMAT </w:instrText>
      </w:r>
      <w:r>
        <w:fldChar w:fldCharType="separate"/>
      </w:r>
      <w:r>
        <w:t>MSFFL3010 Install synthetic floor coverings to sports facilities and outdoor spaces</w:t>
      </w:r>
      <w:r>
        <w:fldChar w:fldCharType="end"/>
      </w:r>
    </w:p>
    <w:p w:rsidR="006D7473" w:rsidP="006D7473">
      <w:pPr>
        <w:pStyle w:val="Version"/>
        <w:sectPr w:rsidSect="00FA0F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0F70" w:rsidP="00FA0F70">
      <w:pPr>
        <w:pStyle w:val="SuperHeading"/>
      </w:pPr>
      <w:r w:rsidRPr="00FA0F70">
        <w:t>MSFFL3010 Install synthetic floor coverings to sports facilities and outdoor spaces</w:t>
      </w:r>
    </w:p>
    <w:p w:rsidR="00000000" w:rsidRPr="00FA0F70" w:rsidP="00FA0F70">
      <w:pPr>
        <w:pStyle w:val="Heading1"/>
      </w:pPr>
      <w:bookmarkStart w:id="1" w:name="O_635750"/>
      <w:bookmarkEnd w:id="1"/>
      <w:r w:rsidRPr="00FA0F70">
        <w:t>Modification History</w:t>
      </w:r>
    </w:p>
    <w:p w:rsidR="00000000" w:rsidRPr="00FA0F70" w:rsidP="00FA0F70">
      <w:pPr>
        <w:pStyle w:val="BodyText"/>
      </w:pPr>
      <w:r w:rsidRPr="00FA0F70">
        <w:t>Release 1 - New unit of competency</w:t>
      </w:r>
    </w:p>
    <w:p w:rsidR="00000000" w:rsidRPr="00FA0F70" w:rsidP="00FA0F70">
      <w:pPr>
        <w:pStyle w:val="AllowPageBreak"/>
      </w:pPr>
    </w:p>
    <w:p w:rsidR="00000000" w:rsidRPr="00FA0F70" w:rsidP="00FA0F70">
      <w:pPr>
        <w:pStyle w:val="Heading1"/>
      </w:pPr>
      <w:bookmarkStart w:id="2" w:name="O_635758"/>
      <w:bookmarkEnd w:id="2"/>
      <w:r w:rsidRPr="00FA0F70">
        <w:t>Application</w:t>
      </w:r>
    </w:p>
    <w:p w:rsidR="00000000" w:rsidRPr="00FA0F70" w:rsidP="00FA0F70">
      <w:pPr>
        <w:pStyle w:val="BodyText"/>
      </w:pPr>
      <w:r w:rsidRPr="00FA0F70">
        <w:t>This unit of compet</w:t>
      </w:r>
      <w:r w:rsidRPr="00FA0F70">
        <w:t>ency covers installing synthetic textile and other floor coverings to indoor and outdoor sporting facilities and outdoor spaces, including the preparation, cutting, laying out, joining, fixing and finishing of the covering material. It applies to a wide va</w:t>
      </w:r>
      <w:r w:rsidRPr="00FA0F70">
        <w:t>riety of flooring technology installation operations and involves application of skills and knowledge at a trade worker level.</w:t>
      </w:r>
    </w:p>
    <w:p w:rsidR="00000000" w:rsidRPr="00FA0F70" w:rsidP="00FA0F70">
      <w:pPr>
        <w:pStyle w:val="BodyText"/>
      </w:pPr>
    </w:p>
    <w:p w:rsidR="00000000" w:rsidRPr="00FA0F70" w:rsidP="00FA0F70">
      <w:pPr>
        <w:pStyle w:val="BodyText"/>
      </w:pPr>
      <w:r w:rsidRPr="00FA0F70">
        <w:t>Licensing, legislative or certification requirements may apply to this unit and relevant state/territory and local government ag</w:t>
      </w:r>
      <w:r w:rsidRPr="00FA0F70">
        <w:t>encies should be consulted to determine any necessary certification or licensing for undertaking flooring work. Access to construction sites requires certification of general induction training specified by the National Code of Practice for Induction for C</w:t>
      </w:r>
      <w:r w:rsidRPr="00FA0F70">
        <w:t>onstruction Work (ASCC 2007).</w:t>
      </w:r>
    </w:p>
    <w:p w:rsidR="00000000" w:rsidRPr="00FA0F70" w:rsidP="00FA0F70">
      <w:pPr>
        <w:pStyle w:val="AllowPageBreak"/>
      </w:pPr>
    </w:p>
    <w:p w:rsidR="00000000" w:rsidRPr="00FA0F70" w:rsidP="00FA0F70">
      <w:pPr>
        <w:pStyle w:val="Heading1"/>
      </w:pPr>
      <w:bookmarkStart w:id="3" w:name="O_635757"/>
      <w:bookmarkEnd w:id="3"/>
      <w:r w:rsidRPr="00FA0F70">
        <w:t>Pre-requisite Unit</w:t>
      </w:r>
    </w:p>
    <w:p w:rsidR="00000000" w:rsidRPr="00FA0F70" w:rsidP="00FA0F70">
      <w:pPr>
        <w:pStyle w:val="Heading1"/>
      </w:pPr>
      <w:bookmarkStart w:id="4" w:name="O_635756"/>
      <w:bookmarkEnd w:id="4"/>
      <w:r w:rsidRPr="00FA0F70">
        <w:t>Competency Field</w:t>
      </w:r>
    </w:p>
    <w:p w:rsidR="00000000" w:rsidRPr="00FA0F70" w:rsidP="00FA0F70">
      <w:pPr>
        <w:pStyle w:val="Heading1"/>
      </w:pPr>
      <w:bookmarkStart w:id="5" w:name="O_635755"/>
      <w:bookmarkEnd w:id="5"/>
      <w:r w:rsidRPr="00FA0F70">
        <w:t>Unit Sector</w:t>
      </w:r>
    </w:p>
    <w:p w:rsidR="00000000" w:rsidRPr="00FA0F70" w:rsidP="00FA0F70">
      <w:pPr>
        <w:pStyle w:val="BodyText"/>
      </w:pPr>
      <w:r w:rsidRPr="00FA0F70">
        <w:t>Flooring technology</w:t>
      </w:r>
    </w:p>
    <w:p w:rsidR="00000000" w:rsidRPr="00FA0F70" w:rsidP="00FA0F70">
      <w:pPr>
        <w:pStyle w:val="AllowPageBreak"/>
      </w:pPr>
    </w:p>
    <w:p w:rsidR="00000000" w:rsidRPr="00FA0F70" w:rsidP="00FA0F70">
      <w:pPr>
        <w:pStyle w:val="Heading1"/>
      </w:pPr>
      <w:bookmarkStart w:id="6" w:name="O_635754"/>
      <w:bookmarkEnd w:id="6"/>
      <w:r w:rsidRPr="00FA0F7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A0F7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Performance cri</w:t>
            </w:r>
            <w:r w:rsidRPr="00FA0F70">
              <w:t>teria describe the performance needed to demonstrate achievement of the element.</w:t>
            </w:r>
          </w:p>
        </w:tc>
      </w:tr>
      <w:tr w:rsidTr="00FA0F7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1</w:t>
            </w:r>
          </w:p>
        </w:tc>
        <w:tc>
          <w:tcPr>
            <w:tcW w:w="1962" w:type="dxa"/>
            <w:vMerge w:val="restart"/>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Prepare for installation</w:t>
            </w:r>
          </w:p>
        </w:tc>
        <w:tc>
          <w:tcPr>
            <w:tcW w:w="77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1.1</w:t>
            </w:r>
          </w:p>
        </w:tc>
        <w:tc>
          <w:tcPr>
            <w:tcW w:w="561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 xml:space="preserve">Applicable work health and safety (WHS), legislative and organisational requirements relevant to the installation of synthetic textile floor </w:t>
            </w:r>
            <w:r w:rsidRPr="00FA0F70">
              <w:t>coverings are verified and complied with</w:t>
            </w:r>
          </w:p>
        </w:tc>
      </w:tr>
      <w:tr w:rsidTr="00FA0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1.2</w:t>
            </w:r>
          </w:p>
        </w:tc>
        <w:tc>
          <w:tcPr>
            <w:tcW w:w="561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Instructions and/or plans are read and interpreted to identify the process required to complete work tasks</w:t>
            </w:r>
          </w:p>
        </w:tc>
      </w:tr>
      <w:tr w:rsidTr="00FA0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1.3</w:t>
            </w:r>
          </w:p>
        </w:tc>
        <w:tc>
          <w:tcPr>
            <w:tcW w:w="561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 xml:space="preserve">Tools, equipment and materials are selected and checked prior to use to ensure that they are appropriate for the </w:t>
            </w:r>
            <w:r w:rsidRPr="00FA0F70">
              <w:t>work, serviceable and in a safe condition</w:t>
            </w:r>
          </w:p>
        </w:tc>
      </w:tr>
      <w:tr w:rsidTr="00FA0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1.4</w:t>
            </w:r>
          </w:p>
        </w:tc>
        <w:tc>
          <w:tcPr>
            <w:tcW w:w="561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Sub-floor condition is assessed for suitability for installation</w:t>
            </w:r>
          </w:p>
        </w:tc>
      </w:tr>
      <w:tr w:rsidTr="00FA0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1.5</w:t>
            </w:r>
          </w:p>
        </w:tc>
        <w:tc>
          <w:tcPr>
            <w:tcW w:w="561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Suitable adhesives, tr</w:t>
            </w:r>
            <w:r w:rsidRPr="00FA0F70">
              <w:t>ims and accessories are selected, if required</w:t>
            </w:r>
          </w:p>
        </w:tc>
      </w:tr>
      <w:tr w:rsidTr="00FA0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1.6</w:t>
            </w:r>
          </w:p>
        </w:tc>
        <w:tc>
          <w:tcPr>
            <w:tcW w:w="561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Sequence of work is planned, including the starting point, to ensure efficiency and quality of installation</w:t>
            </w:r>
          </w:p>
        </w:tc>
      </w:tr>
      <w:tr w:rsidTr="00FA0F7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2</w:t>
            </w:r>
          </w:p>
        </w:tc>
        <w:tc>
          <w:tcPr>
            <w:tcW w:w="1962" w:type="dxa"/>
            <w:vMerge w:val="restart"/>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Set out materials</w:t>
            </w:r>
          </w:p>
        </w:tc>
        <w:tc>
          <w:tcPr>
            <w:tcW w:w="77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2.1</w:t>
            </w:r>
          </w:p>
        </w:tc>
        <w:tc>
          <w:tcPr>
            <w:tcW w:w="561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S</w:t>
            </w:r>
            <w:r w:rsidRPr="00FA0F70">
              <w:t>ynthetic floor covering material to be installed is checked against the work order</w:t>
            </w:r>
          </w:p>
        </w:tc>
      </w:tr>
      <w:tr w:rsidTr="00FA0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2.2</w:t>
            </w:r>
          </w:p>
        </w:tc>
        <w:tc>
          <w:tcPr>
            <w:tcW w:w="561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Synthetic floor covering is acclimatised according to manufacturer recommendations</w:t>
            </w:r>
          </w:p>
        </w:tc>
      </w:tr>
      <w:tr w:rsidTr="00FA0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2.3</w:t>
            </w:r>
          </w:p>
        </w:tc>
        <w:tc>
          <w:tcPr>
            <w:tcW w:w="561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 xml:space="preserve">Soft underlays for synthetic floor coverings, where applicable, are cut and </w:t>
            </w:r>
            <w:r w:rsidRPr="00FA0F70">
              <w:t>laid to specification</w:t>
            </w:r>
          </w:p>
        </w:tc>
      </w:tr>
      <w:tr w:rsidTr="00FA0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2.4</w:t>
            </w:r>
          </w:p>
        </w:tc>
        <w:tc>
          <w:tcPr>
            <w:tcW w:w="561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 xml:space="preserve">Working lines and starting point are established </w:t>
            </w:r>
          </w:p>
        </w:tc>
      </w:tr>
      <w:tr w:rsidTr="00FA0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2.5</w:t>
            </w:r>
          </w:p>
        </w:tc>
        <w:tc>
          <w:tcPr>
            <w:tcW w:w="561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Adhesives and edge strips are prepared for use as required</w:t>
            </w:r>
          </w:p>
        </w:tc>
      </w:tr>
      <w:tr w:rsidTr="00FA0F7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3</w:t>
            </w:r>
          </w:p>
        </w:tc>
        <w:tc>
          <w:tcPr>
            <w:tcW w:w="1962" w:type="dxa"/>
            <w:vMerge w:val="restart"/>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Lay floor covering</w:t>
            </w:r>
          </w:p>
        </w:tc>
        <w:tc>
          <w:tcPr>
            <w:tcW w:w="77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3.1</w:t>
            </w:r>
          </w:p>
        </w:tc>
        <w:tc>
          <w:tcPr>
            <w:tcW w:w="561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Instructions and sequence for laying and fixing are followed</w:t>
            </w:r>
          </w:p>
        </w:tc>
      </w:tr>
      <w:tr w:rsidTr="00FA0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3.2</w:t>
            </w:r>
          </w:p>
        </w:tc>
        <w:tc>
          <w:tcPr>
            <w:tcW w:w="561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Materials for fixing are organised and used in accordance with relevant safety management requirements</w:t>
            </w:r>
          </w:p>
        </w:tc>
      </w:tr>
      <w:tr w:rsidTr="00FA0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3.3</w:t>
            </w:r>
          </w:p>
        </w:tc>
        <w:tc>
          <w:tcPr>
            <w:tcW w:w="561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Synthetic floor coverings are laid out to meet pattern and specification requirements and to minimise waste and joins</w:t>
            </w:r>
          </w:p>
        </w:tc>
      </w:tr>
      <w:tr w:rsidTr="00FA0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3.4</w:t>
            </w:r>
          </w:p>
        </w:tc>
        <w:tc>
          <w:tcPr>
            <w:tcW w:w="561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Synthetic floor cover</w:t>
            </w:r>
            <w:r w:rsidRPr="00FA0F70">
              <w:t>ings are accurately and clearly marked for cutting</w:t>
            </w:r>
          </w:p>
        </w:tc>
      </w:tr>
      <w:tr w:rsidTr="00FA0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3.5</w:t>
            </w:r>
          </w:p>
        </w:tc>
        <w:tc>
          <w:tcPr>
            <w:tcW w:w="561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Synthetic floor coverings are cut to length, joins are cut and prepared for final laying</w:t>
            </w:r>
          </w:p>
        </w:tc>
      </w:tr>
      <w:tr w:rsidTr="00FA0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3.6</w:t>
            </w:r>
          </w:p>
        </w:tc>
        <w:tc>
          <w:tcPr>
            <w:tcW w:w="561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Line marking is completed where required</w:t>
            </w:r>
          </w:p>
        </w:tc>
      </w:tr>
      <w:tr w:rsidTr="00FA0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3.7</w:t>
            </w:r>
          </w:p>
        </w:tc>
        <w:tc>
          <w:tcPr>
            <w:tcW w:w="561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Cover trims are fitted and finished</w:t>
            </w:r>
          </w:p>
        </w:tc>
      </w:tr>
      <w:tr w:rsidTr="00FA0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3.8</w:t>
            </w:r>
          </w:p>
        </w:tc>
        <w:tc>
          <w:tcPr>
            <w:tcW w:w="561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Completed installation is checked for flaws in installation and materials and faults rectified</w:t>
            </w:r>
          </w:p>
        </w:tc>
      </w:tr>
      <w:tr w:rsidTr="00FA0F7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4</w:t>
            </w:r>
          </w:p>
        </w:tc>
        <w:tc>
          <w:tcPr>
            <w:tcW w:w="1962" w:type="dxa"/>
            <w:vMerge w:val="restart"/>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Complete housekeeping</w:t>
            </w:r>
          </w:p>
        </w:tc>
        <w:tc>
          <w:tcPr>
            <w:tcW w:w="77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4.1</w:t>
            </w:r>
          </w:p>
        </w:tc>
        <w:tc>
          <w:tcPr>
            <w:tcW w:w="561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Unused materials are stored or recycled as required</w:t>
            </w:r>
          </w:p>
        </w:tc>
      </w:tr>
      <w:tr w:rsidTr="00FA0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4.2</w:t>
            </w:r>
          </w:p>
        </w:tc>
        <w:tc>
          <w:tcPr>
            <w:tcW w:w="561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Tools and equipment are cleaned and stored appropriately</w:t>
            </w:r>
          </w:p>
        </w:tc>
      </w:tr>
      <w:tr w:rsidTr="00FA0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4.3</w:t>
            </w:r>
          </w:p>
        </w:tc>
        <w:tc>
          <w:tcPr>
            <w:tcW w:w="561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Work area is cleaned and rubbish disposed of appropriate</w:t>
            </w:r>
          </w:p>
        </w:tc>
      </w:tr>
      <w:tr w:rsidTr="00FA0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4.4</w:t>
            </w:r>
          </w:p>
        </w:tc>
        <w:tc>
          <w:tcPr>
            <w:tcW w:w="5610" w:type="dxa"/>
            <w:tcBorders>
              <w:top w:val="nil"/>
              <w:left w:val="nil"/>
              <w:bottom w:val="nil"/>
              <w:right w:val="nil"/>
            </w:tcBorders>
            <w:tcMar>
              <w:top w:w="0" w:type="dxa"/>
              <w:left w:w="62" w:type="dxa"/>
              <w:bottom w:w="0" w:type="dxa"/>
              <w:right w:w="62" w:type="dxa"/>
            </w:tcMar>
          </w:tcPr>
          <w:p w:rsidR="00000000" w:rsidRPr="00FA0F70" w:rsidP="00FA0F70">
            <w:pPr>
              <w:pStyle w:val="BodyText"/>
            </w:pPr>
            <w:r w:rsidRPr="00FA0F70">
              <w:t>Workplace documentation is completed</w:t>
            </w:r>
          </w:p>
        </w:tc>
      </w:tr>
    </w:tbl>
    <w:p w:rsidR="00000000" w:rsidRPr="00FA0F70" w:rsidP="00FA0F70">
      <w:pPr>
        <w:pStyle w:val="BodyText"/>
      </w:pPr>
    </w:p>
    <w:p w:rsidR="00000000" w:rsidRPr="00FA0F70" w:rsidP="00FA0F70">
      <w:pPr>
        <w:pStyle w:val="AllowPageBreak"/>
      </w:pPr>
    </w:p>
    <w:p w:rsidR="00000000" w:rsidRPr="00FA0F70" w:rsidP="00FA0F70">
      <w:pPr>
        <w:pStyle w:val="Heading1"/>
      </w:pPr>
      <w:bookmarkStart w:id="7" w:name="O_635753"/>
      <w:bookmarkEnd w:id="7"/>
      <w:r w:rsidRPr="00FA0F70">
        <w:t>Foundation Skills</w:t>
      </w:r>
    </w:p>
    <w:p w:rsidR="006D7473" w:rsidP="00FA0F70">
      <w:pPr>
        <w:pStyle w:val="BodyText"/>
      </w:pPr>
      <w:r w:rsidRPr="00FA0F70">
        <w:t>Foundation skills essential to performance are explicit in the performance criteria of this unit of competency. Detail on appropriate performance levels for each furnishing unit of competency in reading, writing, oral communication and numeracy utilising t</w:t>
      </w:r>
      <w:r w:rsidRPr="00FA0F70">
        <w:t xml:space="preserve">he Australian Core Skills Framework (ACSF) are provided in the Furnishing Training Package Implementation Guide. </w:t>
      </w:r>
    </w:p>
    <w:p w:rsidR="006D7473" w:rsidP="00FA0F70">
      <w:pPr>
        <w:pStyle w:val="BodyText"/>
      </w:pPr>
    </w:p>
    <w:p w:rsidR="00000000" w:rsidRPr="00FA0F70" w:rsidP="00FA0F70">
      <w:pPr>
        <w:pStyle w:val="Heading1"/>
      </w:pPr>
      <w:bookmarkStart w:id="8" w:name="O_635752"/>
      <w:bookmarkEnd w:id="8"/>
      <w:r w:rsidRPr="00FA0F70">
        <w:t>Range of Conditions</w:t>
      </w:r>
    </w:p>
    <w:tbl>
      <w:tblPr>
        <w:tblW w:w="0" w:type="auto"/>
        <w:tblLayout w:type="fixed"/>
        <w:tblCellMar>
          <w:left w:w="62" w:type="dxa"/>
          <w:right w:w="62" w:type="dxa"/>
        </w:tblCellMar>
        <w:tblLook w:val="0000"/>
      </w:tblPr>
      <w:tblGrid>
        <w:gridCol w:w="2760"/>
        <w:gridCol w:w="6312"/>
      </w:tblGrid>
      <w:tr w:rsidTr="00FA0F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t>Specifies different work environments and conditions that may affect performance. Essential operating co</w:t>
            </w:r>
            <w:r w:rsidRPr="00FA0F70">
              <w:t>nditions that may be present (depending on the work situation, needs of the candidate, accessibility of the item, and local industry and regional contexts) are included. Range is restricted to essential operating conditions and any other variables essentia</w:t>
            </w:r>
            <w:r w:rsidRPr="00FA0F70">
              <w:t>l to the work environment.</w:t>
            </w:r>
          </w:p>
        </w:tc>
      </w:tr>
      <w:tr w:rsidTr="00FA0F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FA0F70" w:rsidP="00FA0F70">
            <w:pPr>
              <w:pStyle w:val="ListBullet"/>
            </w:pPr>
            <w:r w:rsidRPr="00FA0F70">
              <w:t>applicable legislation from all levels of government that affect organisational operation</w:t>
            </w:r>
          </w:p>
          <w:p w:rsidR="00000000" w:rsidRPr="00FA0F70" w:rsidP="00FA0F70">
            <w:pPr>
              <w:pStyle w:val="ListBullet"/>
            </w:pPr>
            <w:r w:rsidRPr="00FA0F70">
              <w:t>award and enterprise agreements</w:t>
            </w:r>
          </w:p>
          <w:p w:rsidR="00000000" w:rsidRPr="00FA0F70" w:rsidP="00FA0F70">
            <w:pPr>
              <w:pStyle w:val="ListBullet"/>
            </w:pPr>
            <w:r w:rsidRPr="00FA0F70">
              <w:t>industrial relations</w:t>
            </w:r>
          </w:p>
          <w:p w:rsidR="00000000" w:rsidRPr="00FA0F70" w:rsidP="00FA0F70">
            <w:pPr>
              <w:pStyle w:val="ListBullet"/>
            </w:pPr>
            <w:r w:rsidRPr="00FA0F70">
              <w:t>Australian Standards</w:t>
            </w:r>
          </w:p>
          <w:p w:rsidR="00000000" w:rsidRPr="00FA0F70" w:rsidP="00FA0F70">
            <w:pPr>
              <w:pStyle w:val="ListBullet"/>
            </w:pPr>
            <w:r w:rsidRPr="00FA0F70">
              <w:t>confidentiality and privacy</w:t>
            </w:r>
          </w:p>
          <w:p w:rsidR="00000000" w:rsidRPr="00FA0F70" w:rsidP="00FA0F70">
            <w:pPr>
              <w:pStyle w:val="ListBullet"/>
            </w:pPr>
            <w:r w:rsidRPr="00FA0F70">
              <w:t>WHS</w:t>
            </w:r>
          </w:p>
          <w:p w:rsidR="00000000" w:rsidRPr="00FA0F70" w:rsidP="00FA0F70">
            <w:pPr>
              <w:pStyle w:val="ListBullet"/>
            </w:pPr>
            <w:r w:rsidRPr="00FA0F70">
              <w:t>the environment</w:t>
            </w:r>
          </w:p>
          <w:p w:rsidR="00000000" w:rsidRPr="00FA0F70" w:rsidP="00FA0F70">
            <w:pPr>
              <w:pStyle w:val="ListBullet"/>
            </w:pPr>
            <w:r w:rsidRPr="00FA0F70">
              <w:t>equal employment opportunity (EEO)</w:t>
            </w:r>
          </w:p>
          <w:p w:rsidR="00000000" w:rsidRPr="00FA0F70" w:rsidP="00FA0F70">
            <w:pPr>
              <w:pStyle w:val="ListBullet"/>
            </w:pPr>
            <w:r w:rsidRPr="00FA0F70">
              <w:t>anti-discrimination</w:t>
            </w:r>
          </w:p>
          <w:p w:rsidR="00000000" w:rsidRPr="00FA0F70" w:rsidP="00FA0F70">
            <w:pPr>
              <w:pStyle w:val="ListBullet"/>
            </w:pPr>
            <w:r w:rsidRPr="00FA0F70">
              <w:t>relevant industry codes of practice</w:t>
            </w:r>
          </w:p>
          <w:p w:rsidR="00000000" w:rsidP="00FA0F70">
            <w:pPr>
              <w:pStyle w:val="ListBullet"/>
              <w:rPr>
                <w:lang w:val="en-NZ"/>
              </w:rPr>
            </w:pPr>
            <w:r w:rsidRPr="00FA0F70">
              <w:t>duty of care and heritage</w:t>
            </w:r>
          </w:p>
        </w:tc>
      </w:tr>
      <w:tr w:rsidTr="00FA0F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FA0F70" w:rsidP="00FA0F70">
            <w:pPr>
              <w:pStyle w:val="ListBullet"/>
            </w:pPr>
            <w:r w:rsidRPr="00FA0F70">
              <w:t>Commonwealth, state or territory legislation and regulations</w:t>
            </w:r>
          </w:p>
          <w:p w:rsidR="00000000" w:rsidRPr="00FA0F70" w:rsidP="00FA0F70">
            <w:pPr>
              <w:pStyle w:val="ListBullet"/>
            </w:pPr>
            <w:r w:rsidRPr="00FA0F70">
              <w:t>organisational safety policies</w:t>
            </w:r>
            <w:r w:rsidRPr="00FA0F70">
              <w:t xml:space="preserve"> and procedures</w:t>
            </w:r>
          </w:p>
          <w:p w:rsidR="00000000" w:rsidRPr="00FA0F70" w:rsidP="00FA0F70">
            <w:pPr>
              <w:pStyle w:val="ListBullet"/>
            </w:pPr>
            <w:r w:rsidRPr="00FA0F70">
              <w:t>the use of personal protective equipment and clothing</w:t>
            </w:r>
          </w:p>
          <w:p w:rsidR="00000000" w:rsidRPr="00FA0F70" w:rsidP="00FA0F70">
            <w:pPr>
              <w:pStyle w:val="ListBullet"/>
            </w:pPr>
            <w:r w:rsidRPr="00FA0F70">
              <w:t>firefighting equipment</w:t>
            </w:r>
          </w:p>
          <w:p w:rsidR="00000000" w:rsidRPr="00FA0F70" w:rsidP="00FA0F70">
            <w:pPr>
              <w:pStyle w:val="ListBullet"/>
            </w:pPr>
            <w:r w:rsidRPr="00FA0F70">
              <w:t>first aid equipment</w:t>
            </w:r>
          </w:p>
          <w:p w:rsidR="00000000" w:rsidRPr="00FA0F70" w:rsidP="00FA0F70">
            <w:pPr>
              <w:pStyle w:val="ListBullet"/>
            </w:pPr>
            <w:r w:rsidRPr="00FA0F70">
              <w:t>hazard and risk control and elimination</w:t>
            </w:r>
          </w:p>
          <w:p w:rsidR="00000000" w:rsidRPr="00FA0F70" w:rsidP="00FA0F70">
            <w:pPr>
              <w:pStyle w:val="ListBullet"/>
            </w:pPr>
            <w:r w:rsidRPr="00FA0F70">
              <w:t>control of hazardous materials and substances</w:t>
            </w:r>
          </w:p>
          <w:p w:rsidR="00000000" w:rsidP="00FA0F70">
            <w:pPr>
              <w:pStyle w:val="ListBullet"/>
              <w:rPr>
                <w:lang w:val="en-NZ"/>
              </w:rPr>
            </w:pPr>
            <w:r w:rsidRPr="00FA0F70">
              <w:t>manual handling, including lifting and carrying</w:t>
            </w:r>
          </w:p>
        </w:tc>
      </w:tr>
      <w:tr w:rsidTr="00FA0F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FA0F70" w:rsidP="00FA0F70">
            <w:pPr>
              <w:pStyle w:val="ListBullet"/>
            </w:pPr>
            <w:r w:rsidRPr="00FA0F70">
              <w:t>legal, organisational and site guidelines</w:t>
            </w:r>
          </w:p>
          <w:p w:rsidR="00000000" w:rsidRPr="00FA0F70" w:rsidP="00FA0F70">
            <w:pPr>
              <w:pStyle w:val="ListBullet"/>
            </w:pPr>
            <w:r w:rsidRPr="00FA0F70">
              <w:t>policies and procedures relating to own role and responsibility</w:t>
            </w:r>
          </w:p>
          <w:p w:rsidR="00000000" w:rsidRPr="00FA0F70" w:rsidP="00FA0F70">
            <w:pPr>
              <w:pStyle w:val="ListBullet"/>
            </w:pPr>
            <w:r w:rsidRPr="00FA0F70">
              <w:t>quality assurance</w:t>
            </w:r>
          </w:p>
          <w:p w:rsidR="00000000" w:rsidRPr="00FA0F70" w:rsidP="00FA0F70">
            <w:pPr>
              <w:pStyle w:val="ListBullet"/>
            </w:pPr>
            <w:r w:rsidRPr="00FA0F70">
              <w:t>procedural manuals</w:t>
            </w:r>
          </w:p>
          <w:p w:rsidR="00000000" w:rsidRPr="00FA0F70" w:rsidP="00FA0F70">
            <w:pPr>
              <w:pStyle w:val="ListBullet"/>
            </w:pPr>
            <w:r w:rsidRPr="00FA0F70">
              <w:t>quality and continuous improvement processes and standards</w:t>
            </w:r>
          </w:p>
          <w:p w:rsidR="00000000" w:rsidRPr="00FA0F70" w:rsidP="00FA0F70">
            <w:pPr>
              <w:pStyle w:val="ListBullet"/>
            </w:pPr>
            <w:r w:rsidRPr="00FA0F70">
              <w:t>WHS</w:t>
            </w:r>
          </w:p>
          <w:p w:rsidR="00000000" w:rsidRPr="00FA0F70" w:rsidP="00FA0F70">
            <w:pPr>
              <w:pStyle w:val="ListBullet"/>
            </w:pPr>
            <w:r w:rsidRPr="00FA0F70">
              <w:t>emergency an</w:t>
            </w:r>
            <w:r w:rsidRPr="00FA0F70">
              <w:t>d evacuation</w:t>
            </w:r>
          </w:p>
          <w:p w:rsidR="00000000" w:rsidRPr="00FA0F70" w:rsidP="00FA0F70">
            <w:pPr>
              <w:pStyle w:val="ListBullet"/>
            </w:pPr>
            <w:r w:rsidRPr="00FA0F70">
              <w:t>ethical standards</w:t>
            </w:r>
          </w:p>
          <w:p w:rsidR="00000000" w:rsidRPr="00FA0F70" w:rsidP="00FA0F70">
            <w:pPr>
              <w:pStyle w:val="ListBullet"/>
            </w:pPr>
            <w:r w:rsidRPr="00FA0F70">
              <w:t>recording and reporting</w:t>
            </w:r>
          </w:p>
          <w:p w:rsidR="00000000" w:rsidRPr="00FA0F70" w:rsidP="00FA0F70">
            <w:pPr>
              <w:pStyle w:val="ListBullet"/>
            </w:pPr>
            <w:r w:rsidRPr="00FA0F70">
              <w:t>access and equity principles and practices</w:t>
            </w:r>
          </w:p>
          <w:p w:rsidR="00000000" w:rsidRPr="00FA0F70" w:rsidP="00FA0F70">
            <w:pPr>
              <w:pStyle w:val="ListBullet"/>
            </w:pPr>
            <w:r w:rsidRPr="00FA0F70">
              <w:t>equipment use, maintenance and storage</w:t>
            </w:r>
          </w:p>
          <w:p w:rsidR="00000000" w:rsidP="00FA0F70">
            <w:pPr>
              <w:pStyle w:val="ListBullet"/>
              <w:rPr>
                <w:lang w:val="en-NZ"/>
              </w:rPr>
            </w:pPr>
            <w:r w:rsidRPr="00FA0F70">
              <w:t>environmental management (waste disposal, recycling and re-use guidelines)</w:t>
            </w:r>
          </w:p>
        </w:tc>
      </w:tr>
      <w:tr w:rsidTr="00FA0F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rPr>
                <w:rStyle w:val="SpecialBold"/>
              </w:rPr>
              <w:t>Synthetic textile floor coverings include:</w:t>
            </w:r>
          </w:p>
        </w:tc>
        <w:tc>
          <w:tcPr>
            <w:tcW w:w="6312" w:type="dxa"/>
            <w:tcBorders>
              <w:top w:val="nil"/>
              <w:left w:val="nil"/>
              <w:bottom w:val="nil"/>
              <w:right w:val="nil"/>
            </w:tcBorders>
            <w:tcMar>
              <w:top w:w="0" w:type="dxa"/>
              <w:left w:w="62" w:type="dxa"/>
              <w:bottom w:w="0" w:type="dxa"/>
              <w:right w:w="62" w:type="dxa"/>
            </w:tcMar>
          </w:tcPr>
          <w:p w:rsidR="00000000" w:rsidRPr="00FA0F70" w:rsidP="00FA0F70">
            <w:pPr>
              <w:pStyle w:val="ListBullet"/>
            </w:pPr>
            <w:r w:rsidRPr="00FA0F70">
              <w:t>synthetic turf</w:t>
            </w:r>
          </w:p>
          <w:p w:rsidR="00000000" w:rsidRPr="00FA0F70" w:rsidP="00FA0F70">
            <w:pPr>
              <w:pStyle w:val="ListBullet"/>
            </w:pPr>
            <w:r w:rsidRPr="00FA0F70">
              <w:t>needle punch carpet</w:t>
            </w:r>
          </w:p>
          <w:p w:rsidR="00000000" w:rsidRPr="00FA0F70" w:rsidP="00FA0F70">
            <w:pPr>
              <w:pStyle w:val="ListBullet"/>
            </w:pPr>
            <w:r w:rsidRPr="00FA0F70">
              <w:t>PVC-backed carpet</w:t>
            </w:r>
          </w:p>
          <w:p w:rsidR="00000000" w:rsidRPr="00FA0F70" w:rsidP="00FA0F70">
            <w:pPr>
              <w:pStyle w:val="ListBullet"/>
            </w:pPr>
            <w:r w:rsidRPr="00FA0F70">
              <w:t>rubber-backed carpet</w:t>
            </w:r>
          </w:p>
          <w:p w:rsidR="00000000" w:rsidRPr="00FA0F70" w:rsidP="00FA0F70">
            <w:pPr>
              <w:pStyle w:val="ListBullet"/>
            </w:pPr>
            <w:r w:rsidRPr="00FA0F70">
              <w:t>solid ethylene vinyl acetate (EVA)</w:t>
            </w:r>
          </w:p>
          <w:p w:rsidR="00000000" w:rsidP="00FA0F70">
            <w:pPr>
              <w:pStyle w:val="ListBullet"/>
              <w:rPr>
                <w:lang w:val="en-NZ"/>
              </w:rPr>
            </w:pPr>
            <w:r w:rsidRPr="00FA0F70">
              <w:t>vinyl (solid and tile)</w:t>
            </w:r>
          </w:p>
        </w:tc>
      </w:tr>
      <w:tr w:rsidTr="00FA0F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rPr>
                <w:rStyle w:val="SpecialBold"/>
              </w:rPr>
              <w:t>Installation locations include:</w:t>
            </w:r>
          </w:p>
        </w:tc>
        <w:tc>
          <w:tcPr>
            <w:tcW w:w="6312" w:type="dxa"/>
            <w:tcBorders>
              <w:top w:val="nil"/>
              <w:left w:val="nil"/>
              <w:bottom w:val="nil"/>
              <w:right w:val="nil"/>
            </w:tcBorders>
            <w:tcMar>
              <w:top w:w="0" w:type="dxa"/>
              <w:left w:w="62" w:type="dxa"/>
              <w:bottom w:w="0" w:type="dxa"/>
              <w:right w:w="62" w:type="dxa"/>
            </w:tcMar>
          </w:tcPr>
          <w:p w:rsidR="00000000" w:rsidRPr="00FA0F70" w:rsidP="00FA0F70">
            <w:pPr>
              <w:pStyle w:val="ListBullet"/>
            </w:pPr>
            <w:r w:rsidRPr="00FA0F70">
              <w:t>indoor and outdoor sports facilities</w:t>
            </w:r>
          </w:p>
          <w:p w:rsidR="00000000" w:rsidRPr="00FA0F70" w:rsidP="00FA0F70">
            <w:pPr>
              <w:pStyle w:val="ListBullet"/>
            </w:pPr>
            <w:r w:rsidRPr="00FA0F70">
              <w:t>public and private playgrounds</w:t>
            </w:r>
          </w:p>
          <w:p w:rsidR="00000000" w:rsidRPr="00FA0F70" w:rsidP="00FA0F70">
            <w:pPr>
              <w:pStyle w:val="ListBullet"/>
            </w:pPr>
            <w:r w:rsidRPr="00FA0F70">
              <w:t>recreational areas and other common spaces</w:t>
            </w:r>
          </w:p>
          <w:p w:rsidR="00000000" w:rsidRPr="00FA0F70" w:rsidP="00FA0F70">
            <w:pPr>
              <w:pStyle w:val="ListBullet"/>
            </w:pPr>
            <w:r w:rsidRPr="00FA0F70">
              <w:t>traffic islands</w:t>
            </w:r>
          </w:p>
          <w:p w:rsidR="00000000" w:rsidP="00FA0F70">
            <w:pPr>
              <w:pStyle w:val="ListBullet"/>
              <w:rPr>
                <w:lang w:val="en-NZ"/>
              </w:rPr>
            </w:pPr>
            <w:r w:rsidRPr="00FA0F70">
              <w:t>marine applications</w:t>
            </w:r>
          </w:p>
        </w:tc>
      </w:tr>
      <w:tr w:rsidTr="00FA0F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rPr>
                <w:rStyle w:val="SpecialBold"/>
              </w:rPr>
              <w:t>Instructions include:</w:t>
            </w:r>
          </w:p>
        </w:tc>
        <w:tc>
          <w:tcPr>
            <w:tcW w:w="6312" w:type="dxa"/>
            <w:tcBorders>
              <w:top w:val="nil"/>
              <w:left w:val="nil"/>
              <w:bottom w:val="nil"/>
              <w:right w:val="nil"/>
            </w:tcBorders>
            <w:tcMar>
              <w:top w:w="0" w:type="dxa"/>
              <w:left w:w="62" w:type="dxa"/>
              <w:bottom w:w="0" w:type="dxa"/>
              <w:right w:w="62" w:type="dxa"/>
            </w:tcMar>
          </w:tcPr>
          <w:p w:rsidR="00000000" w:rsidRPr="00FA0F70" w:rsidP="00FA0F70">
            <w:pPr>
              <w:pStyle w:val="ListBullet"/>
            </w:pPr>
            <w:r w:rsidRPr="00FA0F70">
              <w:t>workplace procedures relating to the use and operation of tools and equipment</w:t>
            </w:r>
          </w:p>
          <w:p w:rsidR="00000000" w:rsidRPr="00FA0F70" w:rsidP="00FA0F70">
            <w:pPr>
              <w:pStyle w:val="ListBullet"/>
            </w:pPr>
            <w:r w:rsidRPr="00FA0F70">
              <w:t>workplace instructions, including job sheets, plans, drawings and designs</w:t>
            </w:r>
          </w:p>
          <w:p w:rsidR="00000000" w:rsidRPr="00FA0F70" w:rsidP="00FA0F70">
            <w:pPr>
              <w:pStyle w:val="ListBullet"/>
            </w:pPr>
            <w:r w:rsidRPr="00FA0F70">
              <w:t>w</w:t>
            </w:r>
            <w:r w:rsidRPr="00FA0F70">
              <w:t>orkplace procedures relating to reporting and communications</w:t>
            </w:r>
          </w:p>
          <w:p w:rsidR="00000000" w:rsidP="00FA0F70">
            <w:pPr>
              <w:pStyle w:val="ListBullet"/>
              <w:rPr>
                <w:lang w:val="en-NZ"/>
              </w:rPr>
            </w:pPr>
            <w:r w:rsidRPr="00FA0F70">
              <w:t>manufacturer instructions for the use of equipment and materials</w:t>
            </w:r>
          </w:p>
        </w:tc>
      </w:tr>
      <w:tr w:rsidTr="00FA0F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FA0F70" w:rsidP="00FA0F70">
            <w:pPr>
              <w:pStyle w:val="ListBullet"/>
            </w:pPr>
            <w:r w:rsidRPr="00FA0F70">
              <w:t>straight edge tape measure</w:t>
            </w:r>
          </w:p>
          <w:p w:rsidR="00000000" w:rsidRPr="00FA0F70" w:rsidP="00FA0F70">
            <w:pPr>
              <w:pStyle w:val="ListBullet"/>
            </w:pPr>
            <w:r w:rsidRPr="00FA0F70">
              <w:t>chalk-line</w:t>
            </w:r>
          </w:p>
          <w:p w:rsidR="00000000" w:rsidRPr="00FA0F70" w:rsidP="00FA0F70">
            <w:pPr>
              <w:pStyle w:val="ListBullet"/>
            </w:pPr>
            <w:r w:rsidRPr="00FA0F70">
              <w:t>hammer</w:t>
            </w:r>
          </w:p>
          <w:p w:rsidR="00000000" w:rsidRPr="00FA0F70" w:rsidP="00FA0F70">
            <w:pPr>
              <w:pStyle w:val="ListBullet"/>
            </w:pPr>
            <w:r w:rsidRPr="00FA0F70">
              <w:t>utility knife</w:t>
            </w:r>
          </w:p>
          <w:p w:rsidR="00000000" w:rsidRPr="00FA0F70" w:rsidP="00FA0F70">
            <w:pPr>
              <w:pStyle w:val="ListBullet"/>
            </w:pPr>
            <w:r w:rsidRPr="00FA0F70">
              <w:t>notched trowel</w:t>
            </w:r>
          </w:p>
          <w:p w:rsidR="00000000" w:rsidRPr="00FA0F70" w:rsidP="00FA0F70">
            <w:pPr>
              <w:pStyle w:val="ListBullet"/>
            </w:pPr>
            <w:r w:rsidRPr="00FA0F70">
              <w:t>wall trimmer</w:t>
            </w:r>
          </w:p>
          <w:p w:rsidR="00000000" w:rsidRPr="00FA0F70" w:rsidP="00FA0F70">
            <w:pPr>
              <w:pStyle w:val="ListBullet"/>
            </w:pPr>
            <w:r w:rsidRPr="00FA0F70">
              <w:t>cushion back cutter</w:t>
            </w:r>
          </w:p>
          <w:p w:rsidR="00000000" w:rsidRPr="00FA0F70" w:rsidP="00FA0F70">
            <w:pPr>
              <w:pStyle w:val="ListBullet"/>
            </w:pPr>
            <w:r w:rsidRPr="00FA0F70">
              <w:t>loop pile cutter</w:t>
            </w:r>
          </w:p>
          <w:p w:rsidR="00000000" w:rsidRPr="00FA0F70" w:rsidP="00FA0F70">
            <w:pPr>
              <w:pStyle w:val="ListBullet"/>
            </w:pPr>
            <w:r w:rsidRPr="00FA0F70">
              <w:t xml:space="preserve">laser measuring device </w:t>
            </w:r>
          </w:p>
          <w:p w:rsidR="00000000" w:rsidP="00FA0F70">
            <w:pPr>
              <w:pStyle w:val="ListBullet"/>
              <w:rPr>
                <w:lang w:val="en-NZ"/>
              </w:rPr>
            </w:pPr>
            <w:r w:rsidRPr="00FA0F70">
              <w:t>bar scriber</w:t>
            </w:r>
          </w:p>
        </w:tc>
      </w:tr>
      <w:tr w:rsidTr="00FA0F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P="00FA0F70">
            <w:pPr>
              <w:pStyle w:val="ListBullet"/>
              <w:rPr>
                <w:lang w:val="en-NZ"/>
              </w:rPr>
            </w:pPr>
            <w:r w:rsidRPr="00FA0F70">
              <w:t>finishing trims, angles and joining tapes</w:t>
            </w:r>
          </w:p>
        </w:tc>
      </w:tr>
      <w:tr w:rsidTr="00FA0F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FA0F70" w:rsidP="00FA0F70">
            <w:pPr>
              <w:pStyle w:val="ListBullet"/>
            </w:pPr>
            <w:r w:rsidRPr="00FA0F70">
              <w:t>plasticised and rubber resin acrylic</w:t>
            </w:r>
          </w:p>
          <w:p w:rsidR="00000000" w:rsidRPr="00FA0F70" w:rsidP="00FA0F70">
            <w:pPr>
              <w:pStyle w:val="ListBullet"/>
            </w:pPr>
            <w:r w:rsidRPr="00FA0F70">
              <w:t>water, solvent-based and solvent-free adhesives</w:t>
            </w:r>
          </w:p>
          <w:p w:rsidR="00000000" w:rsidRPr="00FA0F70" w:rsidP="00FA0F70">
            <w:pPr>
              <w:pStyle w:val="ListBullet"/>
            </w:pPr>
            <w:r w:rsidRPr="00FA0F70">
              <w:t xml:space="preserve">solvent-based </w:t>
            </w:r>
            <w:r w:rsidRPr="00FA0F70">
              <w:t>contact adhesive</w:t>
            </w:r>
          </w:p>
          <w:p w:rsidR="00000000" w:rsidP="00FA0F70">
            <w:pPr>
              <w:pStyle w:val="ListBullet"/>
              <w:rPr>
                <w:lang w:val="en-NZ"/>
              </w:rPr>
            </w:pPr>
            <w:r w:rsidRPr="00FA0F70">
              <w:t>two-part polyurethane</w:t>
            </w:r>
          </w:p>
        </w:tc>
      </w:tr>
      <w:tr w:rsidTr="00FA0F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0F70">
            <w:pPr>
              <w:pStyle w:val="BodyText"/>
              <w:rPr>
                <w:lang w:val="en-NZ"/>
              </w:rPr>
            </w:pPr>
            <w:r w:rsidRPr="00FA0F70">
              <w:rPr>
                <w:rStyle w:val="SpecialBold"/>
              </w:rPr>
              <w:t>Underlays include:</w:t>
            </w:r>
          </w:p>
        </w:tc>
        <w:tc>
          <w:tcPr>
            <w:tcW w:w="6312" w:type="dxa"/>
            <w:tcBorders>
              <w:top w:val="nil"/>
              <w:left w:val="nil"/>
              <w:bottom w:val="nil"/>
              <w:right w:val="nil"/>
            </w:tcBorders>
            <w:tcMar>
              <w:top w:w="0" w:type="dxa"/>
              <w:left w:w="62" w:type="dxa"/>
              <w:bottom w:w="0" w:type="dxa"/>
              <w:right w:w="62" w:type="dxa"/>
            </w:tcMar>
          </w:tcPr>
          <w:p w:rsidR="00000000" w:rsidRPr="00FA0F70" w:rsidP="00FA0F70">
            <w:pPr>
              <w:pStyle w:val="ListBullet"/>
            </w:pPr>
            <w:r w:rsidRPr="00FA0F70">
              <w:t>rubber</w:t>
            </w:r>
          </w:p>
          <w:p w:rsidR="00000000" w:rsidRPr="00FA0F70" w:rsidP="00FA0F70">
            <w:pPr>
              <w:pStyle w:val="ListBullet"/>
            </w:pPr>
            <w:r w:rsidRPr="00FA0F70">
              <w:t>bonded foam</w:t>
            </w:r>
          </w:p>
          <w:p w:rsidR="00000000" w:rsidRPr="00FA0F70" w:rsidP="00FA0F70">
            <w:pPr>
              <w:pStyle w:val="ListBullet"/>
            </w:pPr>
            <w:r w:rsidRPr="00FA0F70">
              <w:t>styrene-butadiene rubber (SBR)</w:t>
            </w:r>
          </w:p>
          <w:p w:rsidR="00000000" w:rsidRPr="00FA0F70" w:rsidP="00FA0F70">
            <w:pPr>
              <w:pStyle w:val="ListBullet"/>
            </w:pPr>
            <w:r w:rsidRPr="00FA0F70">
              <w:t>latex foam</w:t>
            </w:r>
          </w:p>
        </w:tc>
      </w:tr>
    </w:tbl>
    <w:p w:rsidR="00000000" w:rsidRPr="00FA0F70" w:rsidP="00FA0F70">
      <w:pPr>
        <w:pStyle w:val="BodyText"/>
      </w:pPr>
    </w:p>
    <w:p w:rsidR="00000000" w:rsidRPr="00FA0F70" w:rsidP="00FA0F70">
      <w:pPr>
        <w:pStyle w:val="AllowPageBreak"/>
      </w:pPr>
    </w:p>
    <w:p w:rsidR="00000000" w:rsidRPr="00FA0F70" w:rsidP="00FA0F70">
      <w:pPr>
        <w:pStyle w:val="Heading1"/>
      </w:pPr>
      <w:bookmarkStart w:id="9" w:name="O_635751"/>
      <w:bookmarkEnd w:id="9"/>
      <w:r w:rsidRPr="00FA0F70">
        <w:t>Unit Mapping Information</w:t>
      </w:r>
    </w:p>
    <w:p w:rsidR="00000000" w:rsidRPr="00FA0F70" w:rsidP="00FA0F70">
      <w:pPr>
        <w:pStyle w:val="BodyText"/>
      </w:pPr>
      <w:r w:rsidRPr="00FA0F70">
        <w:t>Supersedes and is equivalent to LMFFL3206A Install</w:t>
      </w:r>
      <w:r w:rsidRPr="00FA0F70">
        <w:t xml:space="preserve"> synthetic textile floor coverings to sports facilities</w:t>
      </w:r>
    </w:p>
    <w:p w:rsidR="00000000" w:rsidRPr="00FA0F70" w:rsidP="00FA0F70">
      <w:pPr>
        <w:pStyle w:val="AllowPageBreak"/>
      </w:pPr>
    </w:p>
    <w:p w:rsidR="00000000" w:rsidRPr="00FA0F70" w:rsidP="00FA0F70">
      <w:pPr>
        <w:pStyle w:val="Heading1"/>
      </w:pPr>
      <w:bookmarkStart w:id="10" w:name="O_635744"/>
      <w:bookmarkEnd w:id="10"/>
      <w:r w:rsidRPr="00FA0F70">
        <w:t>Links</w:t>
      </w:r>
    </w:p>
    <w:p w:rsidR="00000000" w:rsidRPr="00FA0F70" w:rsidP="00FA0F70">
      <w:pPr>
        <w:pStyle w:val="BodyText"/>
      </w:pPr>
      <w:r w:rsidRPr="00FA0F70">
        <w:t>Companion Volume implementation guides are found in VETNet - https://vetnet.education.gov.au/Pages/TrainingDocs.aspx?q=0601ab95-583a-4e93-b2d4-cfb27b03ed73</w:t>
      </w:r>
    </w:p>
    <w:p w:rsidR="00000000" w:rsidRPr="00FA0F70" w:rsidP="00FA0F70"/>
    <w:sectPr w:rsidSect="00FA0F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F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F70" w:rsidRPr="006D7473" w:rsidP="006D74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F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73" w:rsidP="00FA0F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D7473" w:rsidP="00FA0F7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D7473" w:rsidP="00FA0F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F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0F70" w:rsidRPr="006D7473" w:rsidP="006D74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F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73" w:rsidRPr="002D2AF8" w:rsidP="00FA0F70">
    <w:pPr>
      <w:pStyle w:val="Header"/>
      <w:framePr w:wrap="around"/>
    </w:pPr>
    <w:r>
      <w:fldChar w:fldCharType="begin"/>
    </w:r>
    <w:r>
      <w:instrText xml:space="preserve"> TITLE   \* MERGEFORMAT </w:instrText>
    </w:r>
    <w:r>
      <w:fldChar w:fldCharType="separate"/>
    </w:r>
    <w:r>
      <w:t>MSFFL3010 Install synthetic floor coverings to sports facilities and outdoor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6D7473" w:rsidP="00FA0F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8659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EEE6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F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0F70"/>
    <w:pPr>
      <w:spacing w:before="360" w:after="60"/>
      <w:outlineLvl w:val="0"/>
    </w:pPr>
    <w:rPr>
      <w:sz w:val="32"/>
    </w:rPr>
  </w:style>
  <w:style w:type="paragraph" w:styleId="Heading2">
    <w:name w:val="heading 2"/>
    <w:basedOn w:val="HeadingBase"/>
    <w:next w:val="BodyText"/>
    <w:link w:val="Heading2Char"/>
    <w:qFormat/>
    <w:rsid w:val="00FA0F70"/>
    <w:pPr>
      <w:keepLines/>
      <w:spacing w:before="240" w:after="120"/>
      <w:outlineLvl w:val="1"/>
    </w:pPr>
    <w:rPr>
      <w:sz w:val="28"/>
      <w:szCs w:val="40"/>
    </w:rPr>
  </w:style>
  <w:style w:type="paragraph" w:styleId="Heading3">
    <w:name w:val="heading 3"/>
    <w:basedOn w:val="HeadingBase"/>
    <w:next w:val="BodyText"/>
    <w:link w:val="Heading3Char"/>
    <w:qFormat/>
    <w:rsid w:val="00FA0F70"/>
    <w:pPr>
      <w:spacing w:before="180" w:after="120"/>
      <w:outlineLvl w:val="2"/>
    </w:pPr>
    <w:rPr>
      <w:spacing w:val="-10"/>
      <w:kern w:val="32"/>
    </w:rPr>
  </w:style>
  <w:style w:type="paragraph" w:styleId="Heading4">
    <w:name w:val="heading 4"/>
    <w:basedOn w:val="HeadingBase"/>
    <w:next w:val="BodyText"/>
    <w:link w:val="Heading4Char"/>
    <w:qFormat/>
    <w:rsid w:val="00FA0F70"/>
    <w:pPr>
      <w:spacing w:before="160" w:after="120"/>
      <w:outlineLvl w:val="3"/>
    </w:pPr>
    <w:rPr>
      <w:sz w:val="22"/>
    </w:rPr>
  </w:style>
  <w:style w:type="paragraph" w:styleId="Heading5">
    <w:name w:val="heading 5"/>
    <w:basedOn w:val="HeadingBase"/>
    <w:next w:val="Normal"/>
    <w:link w:val="Heading5Char"/>
    <w:qFormat/>
    <w:rsid w:val="00FA0F70"/>
    <w:pPr>
      <w:spacing w:before="80"/>
      <w:outlineLvl w:val="4"/>
    </w:pPr>
    <w:rPr>
      <w:color w:val="918585"/>
      <w:sz w:val="20"/>
    </w:rPr>
  </w:style>
  <w:style w:type="paragraph" w:styleId="Heading6">
    <w:name w:val="heading 6"/>
    <w:basedOn w:val="HeadingBase"/>
    <w:next w:val="Normal"/>
    <w:link w:val="Heading6Char"/>
    <w:qFormat/>
    <w:rsid w:val="00FA0F70"/>
    <w:pPr>
      <w:spacing w:before="60"/>
      <w:outlineLvl w:val="5"/>
    </w:pPr>
    <w:rPr>
      <w:color w:val="918585"/>
      <w:sz w:val="20"/>
    </w:rPr>
  </w:style>
  <w:style w:type="paragraph" w:styleId="Heading7">
    <w:name w:val="heading 7"/>
    <w:basedOn w:val="Normal"/>
    <w:next w:val="Normal"/>
    <w:link w:val="Heading7Char"/>
    <w:qFormat/>
    <w:rsid w:val="00FA0F70"/>
    <w:pPr>
      <w:ind w:left="720"/>
      <w:outlineLvl w:val="6"/>
    </w:pPr>
    <w:rPr>
      <w:i/>
    </w:rPr>
  </w:style>
  <w:style w:type="paragraph" w:styleId="Heading8">
    <w:name w:val="heading 8"/>
    <w:basedOn w:val="Normal"/>
    <w:next w:val="Normal"/>
    <w:link w:val="Heading8Char"/>
    <w:qFormat/>
    <w:rsid w:val="00FA0F70"/>
    <w:pPr>
      <w:ind w:left="720"/>
      <w:outlineLvl w:val="7"/>
    </w:pPr>
    <w:rPr>
      <w:i/>
    </w:rPr>
  </w:style>
  <w:style w:type="paragraph" w:styleId="Heading9">
    <w:name w:val="heading 9"/>
    <w:basedOn w:val="Normal"/>
    <w:next w:val="Normal"/>
    <w:link w:val="Heading9Char"/>
    <w:qFormat/>
    <w:rsid w:val="00FA0F70"/>
    <w:pPr>
      <w:ind w:left="720"/>
      <w:outlineLvl w:val="8"/>
    </w:pPr>
    <w:rPr>
      <w:i/>
    </w:rPr>
  </w:style>
  <w:style w:type="character" w:default="1" w:styleId="DefaultParagraphFont">
    <w:name w:val="Default Paragraph Font"/>
    <w:uiPriority w:val="1"/>
    <w:unhideWhenUsed/>
    <w:rsid w:val="00FA0F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0F70"/>
  </w:style>
  <w:style w:type="character" w:customStyle="1" w:styleId="Heading1Char">
    <w:name w:val="Heading 1 Char"/>
    <w:basedOn w:val="DefaultParagraphFont"/>
    <w:link w:val="Heading1"/>
    <w:rsid w:val="00FA0F70"/>
    <w:rPr>
      <w:rFonts w:ascii="Times New Roman" w:eastAsia="Times New Roman" w:hAnsi="Times New Roman" w:cs="Times New Roman"/>
      <w:b/>
      <w:sz w:val="32"/>
      <w:szCs w:val="20"/>
      <w:lang w:eastAsia="en-US"/>
    </w:rPr>
  </w:style>
  <w:style w:type="paragraph" w:styleId="BodyText">
    <w:name w:val="Body Text"/>
    <w:basedOn w:val="Normal"/>
    <w:link w:val="BodyTextChar"/>
    <w:rsid w:val="00FA0F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0F70"/>
    <w:rPr>
      <w:rFonts w:ascii="Times New Roman" w:eastAsia="Times New Roman" w:hAnsi="Times New Roman" w:cs="Times New Roman"/>
      <w:sz w:val="24"/>
      <w:lang w:eastAsia="en-US"/>
    </w:rPr>
  </w:style>
  <w:style w:type="paragraph" w:styleId="ListBullet">
    <w:name w:val="List Bullet"/>
    <w:basedOn w:val="List"/>
    <w:rsid w:val="00FA0F70"/>
    <w:pPr>
      <w:numPr>
        <w:numId w:val="12"/>
      </w:numPr>
      <w:tabs>
        <w:tab w:val="clear" w:pos="340"/>
      </w:tabs>
      <w:spacing w:before="40" w:after="40"/>
    </w:pPr>
  </w:style>
  <w:style w:type="character" w:customStyle="1" w:styleId="SpecialBold">
    <w:name w:val="Special Bold"/>
    <w:basedOn w:val="DefaultParagraphFont"/>
    <w:rsid w:val="00FA0F70"/>
    <w:rPr>
      <w:b/>
      <w:spacing w:val="0"/>
    </w:rPr>
  </w:style>
  <w:style w:type="paragraph" w:customStyle="1" w:styleId="SuperHeading">
    <w:name w:val="SuperHeading"/>
    <w:basedOn w:val="Normal"/>
    <w:rsid w:val="00FA0F70"/>
    <w:pPr>
      <w:spacing w:before="240" w:after="120"/>
      <w:outlineLvl w:val="0"/>
    </w:pPr>
    <w:rPr>
      <w:rFonts w:ascii="Times New Roman" w:hAnsi="Times New Roman"/>
      <w:b/>
      <w:sz w:val="32"/>
    </w:rPr>
  </w:style>
  <w:style w:type="paragraph" w:customStyle="1" w:styleId="AllowPageBreak">
    <w:name w:val="AllowPageBreak"/>
    <w:rsid w:val="00FA0F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0F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0F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0F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0F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0F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0F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0F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0F70"/>
    <w:rPr>
      <w:rFonts w:ascii="Courier New" w:eastAsia="Times New Roman" w:hAnsi="Courier New" w:cs="Times New Roman"/>
      <w:i/>
      <w:szCs w:val="20"/>
      <w:lang w:eastAsia="en-US"/>
    </w:rPr>
  </w:style>
  <w:style w:type="paragraph" w:customStyle="1" w:styleId="HeadingBase">
    <w:name w:val="Heading Base"/>
    <w:rsid w:val="00FA0F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0F70"/>
    <w:pPr>
      <w:tabs>
        <w:tab w:val="right" w:leader="dot" w:pos="9072"/>
      </w:tabs>
      <w:ind w:left="567"/>
    </w:pPr>
    <w:rPr>
      <w:szCs w:val="22"/>
    </w:rPr>
  </w:style>
  <w:style w:type="paragraph" w:customStyle="1" w:styleId="TOCBase">
    <w:name w:val="TOC Base"/>
    <w:rsid w:val="00FA0F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0F70"/>
    <w:pPr>
      <w:tabs>
        <w:tab w:val="right" w:leader="dot" w:pos="9072"/>
      </w:tabs>
      <w:spacing w:before="40" w:after="40"/>
      <w:ind w:left="284"/>
    </w:pPr>
    <w:rPr>
      <w:rFonts w:ascii="Times New Roman" w:hAnsi="Times New Roman"/>
    </w:rPr>
  </w:style>
  <w:style w:type="paragraph" w:styleId="TOC1">
    <w:name w:val="toc 1"/>
    <w:basedOn w:val="TOCBase"/>
    <w:next w:val="Normal"/>
    <w:rsid w:val="00FA0F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0F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0F70"/>
    <w:rPr>
      <w:rFonts w:ascii="Times New Roman" w:eastAsia="Times New Roman" w:hAnsi="Times New Roman" w:cs="Times New Roman"/>
      <w:sz w:val="16"/>
      <w:lang w:eastAsia="en-US"/>
    </w:rPr>
  </w:style>
  <w:style w:type="paragraph" w:styleId="Title">
    <w:name w:val="Title"/>
    <w:basedOn w:val="HeadingBase"/>
    <w:link w:val="TitleChar"/>
    <w:qFormat/>
    <w:rsid w:val="00FA0F70"/>
    <w:pPr>
      <w:spacing w:before="5040"/>
      <w:jc w:val="center"/>
    </w:pPr>
    <w:rPr>
      <w:sz w:val="48"/>
      <w:szCs w:val="72"/>
      <w:lang w:val="en-US"/>
    </w:rPr>
  </w:style>
  <w:style w:type="character" w:customStyle="1" w:styleId="TitleChar">
    <w:name w:val="Title Char"/>
    <w:basedOn w:val="DefaultParagraphFont"/>
    <w:link w:val="Title"/>
    <w:rsid w:val="00FA0F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0F70"/>
    <w:pPr>
      <w:tabs>
        <w:tab w:val="left" w:pos="3600"/>
        <w:tab w:val="left" w:pos="3958"/>
      </w:tabs>
    </w:pPr>
  </w:style>
  <w:style w:type="paragraph" w:styleId="List">
    <w:name w:val="List"/>
    <w:basedOn w:val="BodyText"/>
    <w:next w:val="BodyText"/>
    <w:rsid w:val="00FA0F70"/>
    <w:pPr>
      <w:tabs>
        <w:tab w:val="left" w:pos="340"/>
      </w:tabs>
      <w:spacing w:before="60" w:after="60"/>
      <w:ind w:left="340" w:hanging="340"/>
    </w:pPr>
  </w:style>
  <w:style w:type="paragraph" w:customStyle="1" w:styleId="Note">
    <w:name w:val="Note"/>
    <w:basedOn w:val="BodyText"/>
    <w:rsid w:val="00FA0F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0F70"/>
    <w:pPr>
      <w:framePr w:wrap="auto" w:hAnchor="text" w:y="6049"/>
    </w:pPr>
    <w:rPr>
      <w:color w:val="000000"/>
      <w:sz w:val="40"/>
    </w:rPr>
  </w:style>
  <w:style w:type="paragraph" w:customStyle="1" w:styleId="TOCTitle">
    <w:name w:val="TOCTitle"/>
    <w:basedOn w:val="Heading1"/>
    <w:rsid w:val="00FA0F70"/>
    <w:pPr>
      <w:spacing w:after="240"/>
      <w:jc w:val="center"/>
      <w:outlineLvl w:val="9"/>
    </w:pPr>
    <w:rPr>
      <w:caps/>
    </w:rPr>
  </w:style>
  <w:style w:type="paragraph" w:customStyle="1" w:styleId="Version">
    <w:name w:val="Version"/>
    <w:rsid w:val="00FA0F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0F70"/>
    <w:pPr>
      <w:numPr>
        <w:numId w:val="13"/>
      </w:numPr>
      <w:tabs>
        <w:tab w:val="clear" w:pos="680"/>
      </w:tabs>
    </w:pPr>
  </w:style>
  <w:style w:type="paragraph" w:styleId="Index1">
    <w:name w:val="index 1"/>
    <w:basedOn w:val="Normal"/>
    <w:next w:val="Normal"/>
    <w:semiHidden/>
    <w:rsid w:val="00FA0F70"/>
    <w:pPr>
      <w:keepNext w:val="0"/>
      <w:tabs>
        <w:tab w:val="right" w:pos="4176"/>
      </w:tabs>
      <w:ind w:left="198" w:hanging="198"/>
    </w:pPr>
    <w:rPr>
      <w:rFonts w:ascii="Garamond" w:hAnsi="Garamond"/>
    </w:rPr>
  </w:style>
  <w:style w:type="paragraph" w:styleId="IndexHeading">
    <w:name w:val="index heading"/>
    <w:basedOn w:val="Normal"/>
    <w:next w:val="Index1"/>
    <w:semiHidden/>
    <w:rsid w:val="00FA0F70"/>
    <w:pPr>
      <w:spacing w:before="120" w:after="120"/>
    </w:pPr>
    <w:rPr>
      <w:rFonts w:ascii="Arial" w:hAnsi="Arial"/>
      <w:b/>
      <w:color w:val="918585"/>
      <w:sz w:val="24"/>
    </w:rPr>
  </w:style>
  <w:style w:type="paragraph" w:styleId="Header">
    <w:name w:val="header"/>
    <w:basedOn w:val="Normal"/>
    <w:link w:val="HeaderChar"/>
    <w:rsid w:val="00FA0F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0F70"/>
    <w:rPr>
      <w:rFonts w:ascii="Times New Roman" w:eastAsia="Times New Roman" w:hAnsi="Times New Roman" w:cs="Times New Roman"/>
      <w:sz w:val="16"/>
      <w:szCs w:val="20"/>
      <w:lang w:val="en-GB" w:eastAsia="en-US"/>
    </w:rPr>
  </w:style>
  <w:style w:type="paragraph" w:customStyle="1" w:styleId="Chapter">
    <w:name w:val="Chapter"/>
    <w:basedOn w:val="Normal"/>
    <w:rsid w:val="00FA0F70"/>
    <w:pPr>
      <w:spacing w:before="240"/>
    </w:pPr>
    <w:rPr>
      <w:rFonts w:ascii="Times New Roman" w:hAnsi="Times New Roman"/>
      <w:smallCaps/>
      <w:spacing w:val="80"/>
      <w:sz w:val="28"/>
    </w:rPr>
  </w:style>
  <w:style w:type="paragraph" w:customStyle="1" w:styleId="InChapter">
    <w:name w:val="InChapter"/>
    <w:basedOn w:val="Heading3"/>
    <w:rsid w:val="00FA0F70"/>
    <w:pPr>
      <w:spacing w:after="240"/>
      <w:outlineLvl w:val="9"/>
    </w:pPr>
    <w:rPr>
      <w:noProof/>
    </w:rPr>
  </w:style>
  <w:style w:type="paragraph" w:styleId="Index2">
    <w:name w:val="index 2"/>
    <w:basedOn w:val="Normal"/>
    <w:next w:val="Normal"/>
    <w:semiHidden/>
    <w:rsid w:val="00FA0F70"/>
    <w:pPr>
      <w:tabs>
        <w:tab w:val="right" w:pos="4176"/>
      </w:tabs>
      <w:ind w:left="568" w:hanging="284"/>
    </w:pPr>
    <w:rPr>
      <w:rFonts w:ascii="Garamond" w:hAnsi="Garamond"/>
    </w:rPr>
  </w:style>
  <w:style w:type="paragraph" w:customStyle="1" w:styleId="Byline">
    <w:name w:val="Byline"/>
    <w:rsid w:val="00FA0F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0F70"/>
    <w:pPr>
      <w:tabs>
        <w:tab w:val="clear" w:pos="3600"/>
        <w:tab w:val="clear" w:pos="3958"/>
      </w:tabs>
      <w:jc w:val="right"/>
    </w:pPr>
  </w:style>
  <w:style w:type="character" w:styleId="Emphasis">
    <w:name w:val="Emphasis"/>
    <w:basedOn w:val="DefaultParagraphFont"/>
    <w:qFormat/>
    <w:rsid w:val="00FA0F70"/>
    <w:rPr>
      <w:i/>
    </w:rPr>
  </w:style>
  <w:style w:type="paragraph" w:styleId="Caption">
    <w:name w:val="caption"/>
    <w:basedOn w:val="BodyText"/>
    <w:next w:val="Normal"/>
    <w:qFormat/>
    <w:rsid w:val="00FA0F70"/>
    <w:pPr>
      <w:framePr w:w="2268" w:hSpace="181" w:vSpace="181" w:wrap="around" w:vAnchor="text" w:hAnchor="page" w:x="1135" w:y="285" w:anchorLock="1"/>
    </w:pPr>
    <w:rPr>
      <w:i/>
    </w:rPr>
  </w:style>
  <w:style w:type="paragraph" w:customStyle="1" w:styleId="MiniTOCTitle">
    <w:name w:val="MiniTOCTitle"/>
    <w:basedOn w:val="Heading4"/>
    <w:rsid w:val="00FA0F70"/>
    <w:pPr>
      <w:spacing w:before="240"/>
      <w:outlineLvl w:val="9"/>
    </w:pPr>
    <w:rPr>
      <w:noProof/>
      <w:sz w:val="24"/>
    </w:rPr>
  </w:style>
  <w:style w:type="paragraph" w:customStyle="1" w:styleId="MiniTOCItem">
    <w:name w:val="MiniTOCItem"/>
    <w:basedOn w:val="ListBullet"/>
    <w:rsid w:val="00FA0F70"/>
    <w:pPr>
      <w:numPr>
        <w:numId w:val="0"/>
      </w:numPr>
      <w:tabs>
        <w:tab w:val="right" w:leader="dot" w:pos="6521"/>
      </w:tabs>
      <w:spacing w:before="0" w:after="0"/>
    </w:pPr>
  </w:style>
  <w:style w:type="paragraph" w:customStyle="1" w:styleId="TOFTitle">
    <w:name w:val="TOFTitle"/>
    <w:basedOn w:val="TOCTitle"/>
    <w:rsid w:val="00FA0F70"/>
  </w:style>
  <w:style w:type="paragraph" w:styleId="TableofFigures">
    <w:name w:val="table of figures"/>
    <w:basedOn w:val="Normal"/>
    <w:next w:val="Normal"/>
    <w:semiHidden/>
    <w:rsid w:val="00FA0F70"/>
    <w:pPr>
      <w:tabs>
        <w:tab w:val="right" w:leader="dot" w:pos="9072"/>
      </w:tabs>
      <w:ind w:left="970" w:hanging="403"/>
    </w:pPr>
    <w:rPr>
      <w:rFonts w:ascii="Times New Roman" w:hAnsi="Times New Roman"/>
      <w:b/>
    </w:rPr>
  </w:style>
  <w:style w:type="paragraph" w:styleId="ListNumber">
    <w:name w:val="List Number"/>
    <w:basedOn w:val="List"/>
    <w:rsid w:val="00FA0F70"/>
    <w:pPr>
      <w:numPr>
        <w:numId w:val="10"/>
      </w:numPr>
    </w:pPr>
  </w:style>
  <w:style w:type="character" w:customStyle="1" w:styleId="WingdingSymbols">
    <w:name w:val="Wingding Symbols"/>
    <w:rsid w:val="00FA0F70"/>
    <w:rPr>
      <w:rFonts w:ascii="Wingdings" w:hAnsi="Wingdings"/>
    </w:rPr>
  </w:style>
  <w:style w:type="paragraph" w:customStyle="1" w:styleId="TableHeading">
    <w:name w:val="Table Heading"/>
    <w:basedOn w:val="HeadingBase"/>
    <w:rsid w:val="00FA0F70"/>
    <w:pPr>
      <w:keepLines/>
      <w:pBdr>
        <w:bottom w:val="single" w:sz="6" w:space="1" w:color="918585"/>
      </w:pBdr>
      <w:spacing w:before="240"/>
    </w:pPr>
  </w:style>
  <w:style w:type="character" w:customStyle="1" w:styleId="HotSpot">
    <w:name w:val="HotSpot"/>
    <w:rsid w:val="00FA0F70"/>
    <w:rPr>
      <w:color w:val="0033CC"/>
      <w:u w:val="none"/>
    </w:rPr>
  </w:style>
  <w:style w:type="paragraph" w:customStyle="1" w:styleId="BodyTextRight">
    <w:name w:val="Body Text Right"/>
    <w:basedOn w:val="BodyText"/>
    <w:rsid w:val="00FA0F70"/>
    <w:pPr>
      <w:spacing w:before="0" w:after="0"/>
      <w:jc w:val="right"/>
    </w:pPr>
  </w:style>
  <w:style w:type="paragraph" w:styleId="Index3">
    <w:name w:val="index 3"/>
    <w:basedOn w:val="ListNumber2"/>
    <w:next w:val="Normal"/>
    <w:semiHidden/>
    <w:rsid w:val="00FA0F70"/>
    <w:pPr>
      <w:numPr>
        <w:numId w:val="0"/>
      </w:numPr>
      <w:tabs>
        <w:tab w:val="right" w:leader="dot" w:pos="4176"/>
      </w:tabs>
    </w:pPr>
  </w:style>
  <w:style w:type="paragraph" w:styleId="ListNumber2">
    <w:name w:val="List Number 2"/>
    <w:basedOn w:val="List2"/>
    <w:rsid w:val="00FA0F70"/>
    <w:pPr>
      <w:numPr>
        <w:numId w:val="9"/>
      </w:numPr>
      <w:tabs>
        <w:tab w:val="clear" w:pos="1060"/>
      </w:tabs>
    </w:pPr>
  </w:style>
  <w:style w:type="paragraph" w:customStyle="1" w:styleId="MarginNote">
    <w:name w:val="Margin Note"/>
    <w:basedOn w:val="BodyText"/>
    <w:rsid w:val="00FA0F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0F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0F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0F70"/>
    <w:rPr>
      <w:sz w:val="32"/>
    </w:rPr>
  </w:style>
  <w:style w:type="paragraph" w:customStyle="1" w:styleId="HeadingProcedure">
    <w:name w:val="Heading Procedure"/>
    <w:basedOn w:val="HeadingBase"/>
    <w:next w:val="Normal"/>
    <w:rsid w:val="00FA0F70"/>
    <w:pPr>
      <w:tabs>
        <w:tab w:val="left" w:pos="0"/>
      </w:tabs>
      <w:spacing w:before="120" w:after="60"/>
    </w:pPr>
    <w:rPr>
      <w:i/>
      <w:color w:val="918585"/>
      <w:sz w:val="22"/>
    </w:rPr>
  </w:style>
  <w:style w:type="paragraph" w:customStyle="1" w:styleId="TableBodyText">
    <w:name w:val="Table Body Text"/>
    <w:basedOn w:val="BodyText"/>
    <w:rsid w:val="00FA0F70"/>
    <w:pPr>
      <w:spacing w:before="60" w:after="60"/>
    </w:pPr>
  </w:style>
  <w:style w:type="paragraph" w:styleId="ListContinue">
    <w:name w:val="List Continue"/>
    <w:basedOn w:val="List"/>
    <w:rsid w:val="00FA0F70"/>
    <w:pPr>
      <w:ind w:firstLine="0"/>
    </w:pPr>
  </w:style>
  <w:style w:type="paragraph" w:customStyle="1" w:styleId="ListNote">
    <w:name w:val="List Note"/>
    <w:basedOn w:val="List"/>
    <w:rsid w:val="00FA0F70"/>
    <w:pPr>
      <w:pBdr>
        <w:top w:val="single" w:sz="6" w:space="2" w:color="918585"/>
        <w:bottom w:val="single" w:sz="6" w:space="2" w:color="918585"/>
      </w:pBdr>
      <w:tabs>
        <w:tab w:val="left" w:pos="1021"/>
      </w:tabs>
      <w:ind w:firstLine="0"/>
    </w:pPr>
  </w:style>
  <w:style w:type="paragraph" w:customStyle="1" w:styleId="Warning">
    <w:name w:val="Warning"/>
    <w:basedOn w:val="BodyText"/>
    <w:rsid w:val="00FA0F70"/>
    <w:pPr>
      <w:shd w:val="clear" w:color="auto" w:fill="D9D9D9"/>
      <w:tabs>
        <w:tab w:val="left" w:pos="992"/>
      </w:tabs>
      <w:ind w:left="119" w:right="119"/>
    </w:pPr>
    <w:rPr>
      <w:sz w:val="20"/>
    </w:rPr>
  </w:style>
  <w:style w:type="paragraph" w:customStyle="1" w:styleId="MarginIcons">
    <w:name w:val="Margin Icons"/>
    <w:basedOn w:val="BodyText"/>
    <w:rsid w:val="00FA0F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0F70"/>
    <w:rPr>
      <w:rFonts w:ascii="Courier New" w:hAnsi="Courier New"/>
    </w:rPr>
  </w:style>
  <w:style w:type="paragraph" w:customStyle="1" w:styleId="NoteBullet">
    <w:name w:val="Note Bullet"/>
    <w:basedOn w:val="Note"/>
    <w:rsid w:val="00FA0F70"/>
    <w:pPr>
      <w:tabs>
        <w:tab w:val="clear" w:pos="680"/>
      </w:tabs>
      <w:spacing w:before="60" w:after="60"/>
    </w:pPr>
  </w:style>
  <w:style w:type="paragraph" w:customStyle="1" w:styleId="SubHeading2">
    <w:name w:val="SubHeading2"/>
    <w:basedOn w:val="HeadingBase"/>
    <w:rsid w:val="00FA0F70"/>
    <w:pPr>
      <w:spacing w:before="240" w:after="60"/>
    </w:pPr>
    <w:rPr>
      <w:sz w:val="20"/>
    </w:rPr>
  </w:style>
  <w:style w:type="paragraph" w:customStyle="1" w:styleId="SubHeading1">
    <w:name w:val="SubHeading1"/>
    <w:basedOn w:val="HeadingBase"/>
    <w:rsid w:val="00FA0F70"/>
    <w:pPr>
      <w:spacing w:before="240" w:after="60"/>
    </w:pPr>
    <w:rPr>
      <w:color w:val="918585"/>
      <w:sz w:val="22"/>
    </w:rPr>
  </w:style>
  <w:style w:type="paragraph" w:customStyle="1" w:styleId="SideHeading">
    <w:name w:val="Side Heading"/>
    <w:basedOn w:val="HeadingBase"/>
    <w:rsid w:val="00FA0F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0F70"/>
    <w:pPr>
      <w:tabs>
        <w:tab w:val="num" w:pos="360"/>
      </w:tabs>
    </w:pPr>
  </w:style>
  <w:style w:type="paragraph" w:styleId="PlainText">
    <w:name w:val="Plain Text"/>
    <w:basedOn w:val="Normal"/>
    <w:link w:val="PlainTextChar"/>
    <w:rsid w:val="00FA0F70"/>
    <w:rPr>
      <w:sz w:val="20"/>
    </w:rPr>
  </w:style>
  <w:style w:type="character" w:customStyle="1" w:styleId="PlainTextChar">
    <w:name w:val="Plain Text Char"/>
    <w:basedOn w:val="DefaultParagraphFont"/>
    <w:link w:val="PlainText"/>
    <w:rsid w:val="00FA0F70"/>
    <w:rPr>
      <w:rFonts w:ascii="Courier New" w:eastAsia="Times New Roman" w:hAnsi="Courier New" w:cs="Times New Roman"/>
      <w:sz w:val="20"/>
      <w:szCs w:val="20"/>
      <w:lang w:eastAsia="en-US"/>
    </w:rPr>
  </w:style>
  <w:style w:type="character" w:customStyle="1" w:styleId="MenuOption">
    <w:name w:val="Menu Option"/>
    <w:basedOn w:val="DefaultParagraphFont"/>
    <w:rsid w:val="00FA0F70"/>
    <w:rPr>
      <w:b/>
      <w:smallCaps/>
    </w:rPr>
  </w:style>
  <w:style w:type="paragraph" w:customStyle="1" w:styleId="TableListNumber">
    <w:name w:val="Table List Number"/>
    <w:basedOn w:val="ListNumber"/>
    <w:rsid w:val="00FA0F70"/>
    <w:pPr>
      <w:numPr>
        <w:numId w:val="0"/>
      </w:numPr>
    </w:pPr>
  </w:style>
  <w:style w:type="paragraph" w:styleId="TOC4">
    <w:name w:val="toc 4"/>
    <w:basedOn w:val="TOCBase"/>
    <w:next w:val="Normal"/>
    <w:semiHidden/>
    <w:rsid w:val="00FA0F70"/>
    <w:pPr>
      <w:tabs>
        <w:tab w:val="right" w:leader="dot" w:pos="9071"/>
      </w:tabs>
      <w:ind w:left="1701"/>
    </w:pPr>
  </w:style>
  <w:style w:type="paragraph" w:customStyle="1" w:styleId="ListAlpha">
    <w:name w:val="List Alpha"/>
    <w:basedOn w:val="List"/>
    <w:rsid w:val="00FA0F70"/>
    <w:pPr>
      <w:numPr>
        <w:numId w:val="8"/>
      </w:numPr>
    </w:pPr>
  </w:style>
  <w:style w:type="paragraph" w:customStyle="1" w:styleId="ListAlpha2">
    <w:name w:val="List Alpha 2"/>
    <w:basedOn w:val="List2"/>
    <w:rsid w:val="00FA0F70"/>
    <w:pPr>
      <w:numPr>
        <w:numId w:val="7"/>
      </w:numPr>
    </w:pPr>
  </w:style>
  <w:style w:type="paragraph" w:styleId="List2">
    <w:name w:val="List 2"/>
    <w:basedOn w:val="BodyText"/>
    <w:rsid w:val="00FA0F70"/>
    <w:pPr>
      <w:tabs>
        <w:tab w:val="left" w:pos="680"/>
      </w:tabs>
      <w:spacing w:before="60" w:after="60"/>
      <w:ind w:left="680" w:hanging="340"/>
    </w:pPr>
  </w:style>
  <w:style w:type="paragraph" w:styleId="List3">
    <w:name w:val="List 3"/>
    <w:basedOn w:val="BodyText"/>
    <w:rsid w:val="00FA0F70"/>
    <w:pPr>
      <w:tabs>
        <w:tab w:val="left" w:pos="1021"/>
      </w:tabs>
      <w:spacing w:before="60" w:after="60"/>
      <w:ind w:left="1020" w:hanging="340"/>
    </w:pPr>
  </w:style>
  <w:style w:type="paragraph" w:styleId="List4">
    <w:name w:val="List 4"/>
    <w:basedOn w:val="BodyText"/>
    <w:rsid w:val="00FA0F70"/>
    <w:pPr>
      <w:tabs>
        <w:tab w:val="left" w:pos="1361"/>
      </w:tabs>
      <w:spacing w:before="60" w:after="60"/>
      <w:ind w:left="1361" w:hanging="340"/>
    </w:pPr>
  </w:style>
  <w:style w:type="paragraph" w:styleId="List5">
    <w:name w:val="List 5"/>
    <w:basedOn w:val="BodyText"/>
    <w:rsid w:val="00FA0F70"/>
    <w:pPr>
      <w:tabs>
        <w:tab w:val="left" w:pos="1701"/>
      </w:tabs>
      <w:spacing w:before="60" w:after="60"/>
      <w:ind w:left="1701" w:hanging="340"/>
    </w:pPr>
  </w:style>
  <w:style w:type="paragraph" w:styleId="ListBullet3">
    <w:name w:val="List Bullet 3"/>
    <w:basedOn w:val="List3"/>
    <w:rsid w:val="00FA0F70"/>
    <w:pPr>
      <w:numPr>
        <w:numId w:val="14"/>
      </w:numPr>
      <w:tabs>
        <w:tab w:val="clear" w:pos="1021"/>
      </w:tabs>
      <w:ind w:left="1037" w:hanging="357"/>
    </w:pPr>
  </w:style>
  <w:style w:type="paragraph" w:styleId="ListBullet4">
    <w:name w:val="List Bullet 4"/>
    <w:basedOn w:val="List4"/>
    <w:rsid w:val="00FA0F70"/>
    <w:pPr>
      <w:numPr>
        <w:numId w:val="2"/>
      </w:numPr>
      <w:tabs>
        <w:tab w:val="clear" w:pos="1361"/>
      </w:tabs>
    </w:pPr>
  </w:style>
  <w:style w:type="paragraph" w:styleId="ListBullet5">
    <w:name w:val="List Bullet 5"/>
    <w:basedOn w:val="List5"/>
    <w:rsid w:val="00FA0F70"/>
    <w:pPr>
      <w:numPr>
        <w:numId w:val="3"/>
      </w:numPr>
    </w:pPr>
  </w:style>
  <w:style w:type="paragraph" w:styleId="ListContinue2">
    <w:name w:val="List Continue 2"/>
    <w:basedOn w:val="List2"/>
    <w:rsid w:val="00FA0F70"/>
    <w:pPr>
      <w:ind w:firstLine="0"/>
    </w:pPr>
  </w:style>
  <w:style w:type="paragraph" w:styleId="ListContinue3">
    <w:name w:val="List Continue 3"/>
    <w:basedOn w:val="List3"/>
    <w:rsid w:val="00FA0F70"/>
    <w:pPr>
      <w:ind w:left="1021" w:firstLine="0"/>
    </w:pPr>
  </w:style>
  <w:style w:type="paragraph" w:styleId="ListContinue4">
    <w:name w:val="List Continue 4"/>
    <w:basedOn w:val="List4"/>
    <w:rsid w:val="00FA0F70"/>
    <w:pPr>
      <w:ind w:firstLine="0"/>
    </w:pPr>
  </w:style>
  <w:style w:type="paragraph" w:styleId="ListContinue5">
    <w:name w:val="List Continue 5"/>
    <w:basedOn w:val="List5"/>
    <w:rsid w:val="00FA0F70"/>
    <w:pPr>
      <w:ind w:firstLine="0"/>
    </w:pPr>
  </w:style>
  <w:style w:type="paragraph" w:styleId="ListNumber3">
    <w:name w:val="List Number 3"/>
    <w:basedOn w:val="List3"/>
    <w:rsid w:val="00FA0F70"/>
    <w:pPr>
      <w:numPr>
        <w:numId w:val="4"/>
      </w:numPr>
    </w:pPr>
  </w:style>
  <w:style w:type="paragraph" w:styleId="ListNumber4">
    <w:name w:val="List Number 4"/>
    <w:basedOn w:val="List4"/>
    <w:rsid w:val="00FA0F70"/>
    <w:pPr>
      <w:numPr>
        <w:numId w:val="5"/>
      </w:numPr>
    </w:pPr>
  </w:style>
  <w:style w:type="paragraph" w:styleId="ListNumber5">
    <w:name w:val="List Number 5"/>
    <w:basedOn w:val="List5"/>
    <w:rsid w:val="00FA0F70"/>
    <w:pPr>
      <w:numPr>
        <w:numId w:val="6"/>
      </w:numPr>
    </w:pPr>
  </w:style>
  <w:style w:type="paragraph" w:styleId="BlockText">
    <w:name w:val="Block Text"/>
    <w:basedOn w:val="Normal"/>
    <w:rsid w:val="00FA0F70"/>
    <w:pPr>
      <w:spacing w:after="120"/>
      <w:ind w:left="1440" w:right="1440"/>
    </w:pPr>
  </w:style>
  <w:style w:type="character" w:customStyle="1" w:styleId="Subscript">
    <w:name w:val="Subscript"/>
    <w:basedOn w:val="DefaultParagraphFont"/>
    <w:rsid w:val="00FA0F70"/>
    <w:rPr>
      <w:sz w:val="16"/>
      <w:vertAlign w:val="subscript"/>
    </w:rPr>
  </w:style>
  <w:style w:type="character" w:customStyle="1" w:styleId="Superscript">
    <w:name w:val="Superscript"/>
    <w:basedOn w:val="DefaultParagraphFont"/>
    <w:rsid w:val="00FA0F70"/>
    <w:rPr>
      <w:sz w:val="16"/>
      <w:vertAlign w:val="superscript"/>
    </w:rPr>
  </w:style>
  <w:style w:type="character" w:customStyle="1" w:styleId="Symbols">
    <w:name w:val="Symbols"/>
    <w:basedOn w:val="DefaultParagraphFont"/>
    <w:rsid w:val="00FA0F70"/>
    <w:rPr>
      <w:rFonts w:ascii="Symbol" w:hAnsi="Symbol"/>
    </w:rPr>
  </w:style>
  <w:style w:type="character" w:customStyle="1" w:styleId="MenuOptions">
    <w:name w:val="Menu Options"/>
    <w:basedOn w:val="DefaultParagraphFont"/>
    <w:rsid w:val="00FA0F70"/>
    <w:rPr>
      <w:rFonts w:ascii="Arial Narrow" w:hAnsi="Arial Narrow"/>
      <w:smallCaps/>
    </w:rPr>
  </w:style>
  <w:style w:type="character" w:customStyle="1" w:styleId="Buttons">
    <w:name w:val="Buttons"/>
    <w:basedOn w:val="DefaultParagraphFont"/>
    <w:rsid w:val="00FA0F70"/>
    <w:rPr>
      <w:b/>
    </w:rPr>
  </w:style>
  <w:style w:type="character" w:customStyle="1" w:styleId="Underlined">
    <w:name w:val="Underlined"/>
    <w:basedOn w:val="DefaultParagraphFont"/>
    <w:rsid w:val="00FA0F70"/>
    <w:rPr>
      <w:u w:val="single"/>
    </w:rPr>
  </w:style>
  <w:style w:type="paragraph" w:customStyle="1" w:styleId="TableBodyTextRight">
    <w:name w:val="Table Body Text Right"/>
    <w:basedOn w:val="TableBodyText"/>
    <w:rsid w:val="00FA0F70"/>
    <w:pPr>
      <w:widowControl w:val="0"/>
      <w:autoSpaceDE w:val="0"/>
      <w:autoSpaceDN w:val="0"/>
      <w:adjustRightInd w:val="0"/>
      <w:jc w:val="right"/>
    </w:pPr>
    <w:rPr>
      <w:rFonts w:cs="Arial"/>
      <w:szCs w:val="18"/>
    </w:rPr>
  </w:style>
  <w:style w:type="paragraph" w:customStyle="1" w:styleId="CopyrightText">
    <w:name w:val="Copyright Text"/>
    <w:basedOn w:val="BodyText"/>
    <w:rsid w:val="00FA0F70"/>
    <w:rPr>
      <w:sz w:val="18"/>
    </w:rPr>
  </w:style>
  <w:style w:type="paragraph" w:customStyle="1" w:styleId="BodySmallRight">
    <w:name w:val="Body Small Right"/>
    <w:basedOn w:val="BodyTextRight"/>
    <w:rsid w:val="00FA0F70"/>
    <w:rPr>
      <w:sz w:val="18"/>
      <w:szCs w:val="18"/>
    </w:rPr>
  </w:style>
  <w:style w:type="paragraph" w:customStyle="1" w:styleId="MarginEdition">
    <w:name w:val="Margin Edition"/>
    <w:basedOn w:val="MarginNote"/>
    <w:rsid w:val="00FA0F70"/>
    <w:pPr>
      <w:spacing w:before="0" w:after="0"/>
    </w:pPr>
    <w:rPr>
      <w:rFonts w:ascii="Times New Roman" w:hAnsi="Times New Roman"/>
      <w:color w:val="999999"/>
    </w:rPr>
  </w:style>
  <w:style w:type="paragraph" w:customStyle="1" w:styleId="Spacer">
    <w:name w:val="Spacer"/>
    <w:basedOn w:val="Normal"/>
    <w:rsid w:val="00FA0F70"/>
    <w:rPr>
      <w:sz w:val="2"/>
      <w:szCs w:val="2"/>
    </w:rPr>
  </w:style>
  <w:style w:type="character" w:customStyle="1" w:styleId="Small">
    <w:name w:val="Small"/>
    <w:basedOn w:val="DefaultParagraphFont"/>
    <w:rsid w:val="00FA0F70"/>
    <w:rPr>
      <w:sz w:val="16"/>
    </w:rPr>
  </w:style>
  <w:style w:type="paragraph" w:customStyle="1" w:styleId="WideTable">
    <w:name w:val="Wide Table"/>
    <w:basedOn w:val="Normal"/>
    <w:rsid w:val="00FA0F70"/>
    <w:pPr>
      <w:ind w:left="-1418"/>
    </w:pPr>
    <w:rPr>
      <w:sz w:val="2"/>
      <w:szCs w:val="2"/>
    </w:rPr>
  </w:style>
  <w:style w:type="character" w:styleId="PageNumber">
    <w:name w:val="page number"/>
    <w:basedOn w:val="DefaultParagraphFont"/>
    <w:rsid w:val="00FA0F70"/>
  </w:style>
  <w:style w:type="paragraph" w:styleId="Quote">
    <w:name w:val="Quote"/>
    <w:basedOn w:val="Heading1"/>
    <w:link w:val="QuoteChar"/>
    <w:qFormat/>
    <w:rsid w:val="00FA0F70"/>
    <w:rPr>
      <w:b w:val="0"/>
      <w:sz w:val="72"/>
      <w:szCs w:val="72"/>
      <w:lang w:val="en-NZ"/>
    </w:rPr>
  </w:style>
  <w:style w:type="character" w:customStyle="1" w:styleId="QuoteChar">
    <w:name w:val="Quote Char"/>
    <w:basedOn w:val="DefaultParagraphFont"/>
    <w:link w:val="Quote"/>
    <w:rsid w:val="00FA0F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0F70"/>
    <w:pPr>
      <w:pageBreakBefore/>
    </w:pPr>
  </w:style>
  <w:style w:type="paragraph" w:customStyle="1" w:styleId="Border">
    <w:name w:val="Border"/>
    <w:basedOn w:val="Normal"/>
    <w:qFormat/>
    <w:rsid w:val="00FA0F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0F70"/>
    <w:rPr>
      <w:b/>
      <w:bCs/>
      <w:i/>
      <w:iCs/>
      <w:color w:val="auto"/>
    </w:rPr>
  </w:style>
  <w:style w:type="paragraph" w:styleId="IntenseQuote">
    <w:name w:val="Intense Quote"/>
    <w:basedOn w:val="Normal"/>
    <w:next w:val="Normal"/>
    <w:link w:val="IntenseQuoteChar"/>
    <w:uiPriority w:val="30"/>
    <w:qFormat/>
    <w:rsid w:val="00FA0F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0F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0F70"/>
    <w:rPr>
      <w:smallCaps/>
      <w:color w:val="auto"/>
      <w:u w:val="single"/>
    </w:rPr>
  </w:style>
  <w:style w:type="character" w:styleId="IntenseReference">
    <w:name w:val="Intense Reference"/>
    <w:basedOn w:val="DefaultParagraphFont"/>
    <w:uiPriority w:val="32"/>
    <w:qFormat/>
    <w:rsid w:val="00FA0F70"/>
    <w:rPr>
      <w:b/>
      <w:bCs/>
      <w:smallCaps/>
      <w:color w:val="auto"/>
      <w:spacing w:val="5"/>
      <w:u w:val="single"/>
    </w:rPr>
  </w:style>
  <w:style w:type="paragraph" w:customStyle="1" w:styleId="2ColumnHeading">
    <w:name w:val="2Column Heading"/>
    <w:basedOn w:val="BodyText"/>
    <w:qFormat/>
    <w:rsid w:val="00FA0F70"/>
    <w:pPr>
      <w:spacing w:after="60"/>
      <w:ind w:left="-2268"/>
    </w:pPr>
    <w:rPr>
      <w:b/>
    </w:rPr>
  </w:style>
  <w:style w:type="paragraph" w:customStyle="1" w:styleId="Heading1TOC">
    <w:name w:val="Heading1 TOC"/>
    <w:basedOn w:val="Normal"/>
    <w:qFormat/>
    <w:rsid w:val="00FA0F70"/>
    <w:pPr>
      <w:spacing w:before="240" w:after="120"/>
    </w:pPr>
    <w:rPr>
      <w:rFonts w:ascii="Times New Roman" w:hAnsi="Times New Roman"/>
      <w:b/>
      <w:sz w:val="32"/>
    </w:rPr>
  </w:style>
  <w:style w:type="paragraph" w:customStyle="1" w:styleId="Heading2TOC">
    <w:name w:val="Heading2 TOC"/>
    <w:basedOn w:val="Normal"/>
    <w:qFormat/>
    <w:rsid w:val="00FA0F70"/>
    <w:pPr>
      <w:spacing w:before="240" w:after="60"/>
    </w:pPr>
    <w:rPr>
      <w:rFonts w:ascii="Times New Roman" w:hAnsi="Times New Roman"/>
      <w:b/>
      <w:sz w:val="28"/>
    </w:rPr>
  </w:style>
  <w:style w:type="character" w:customStyle="1" w:styleId="Underline">
    <w:name w:val="Underline"/>
    <w:basedOn w:val="DefaultParagraphFont"/>
    <w:qFormat/>
    <w:rsid w:val="00FA0F70"/>
    <w:rPr>
      <w:u w:val="single"/>
    </w:rPr>
  </w:style>
  <w:style w:type="character" w:customStyle="1" w:styleId="BoldandItalics">
    <w:name w:val="Bold and Italics"/>
    <w:qFormat/>
    <w:rsid w:val="00FA0F70"/>
    <w:rPr>
      <w:b/>
      <w:i/>
      <w:u w:val="none"/>
    </w:rPr>
  </w:style>
  <w:style w:type="paragraph" w:styleId="BalloonText">
    <w:name w:val="Balloon Text"/>
    <w:basedOn w:val="Normal"/>
    <w:link w:val="BalloonTextChar"/>
    <w:rsid w:val="00FA0F70"/>
    <w:rPr>
      <w:rFonts w:ascii="Tahoma" w:hAnsi="Tahoma" w:cs="Tahoma"/>
      <w:sz w:val="16"/>
      <w:szCs w:val="16"/>
    </w:rPr>
  </w:style>
  <w:style w:type="character" w:customStyle="1" w:styleId="BalloonTextChar">
    <w:name w:val="Balloon Text Char"/>
    <w:basedOn w:val="DefaultParagraphFont"/>
    <w:link w:val="BalloonText"/>
    <w:rsid w:val="00FA0F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0F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0F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0F70"/>
    <w:rPr>
      <w:b/>
      <w:color w:val="660033"/>
      <w:spacing w:val="0"/>
    </w:rPr>
  </w:style>
  <w:style w:type="paragraph" w:customStyle="1" w:styleId="Nameditemlist">
    <w:name w:val="Named item list"/>
    <w:basedOn w:val="BodyText"/>
    <w:qFormat/>
    <w:rsid w:val="00FA0F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914</Words>
  <Characters>5936</Characters>
  <Application>Microsoft Office Word</Application>
  <DocSecurity>0</DocSecurity>
  <Lines>264</Lines>
  <Paragraphs>152</Paragraphs>
  <ScaleCrop>false</ScaleCrop>
  <Company>Author-it Software Corporation Ltd.</Company>
  <LinksUpToDate>false</LinksUpToDate>
  <CharactersWithSpaces>6765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MSFFL3010 Install synthetic floor coverings to sports facilities and outdoor spaces</dc:title>
  <dc:subject>Approved</dc:subject>
  <dc:creator>Manufacturing Skills Australia</dc:creator>
  <cp:keywords>Release: 1</cp:keywords>
  <dc:description>Review Date: 12 April 2008</dc:description>
  <cp:lastModifiedBy>TPCMS</cp:lastModifiedBy>
  <cp:revision>3</cp:revision>
  <dcterms:created xsi:type="dcterms:W3CDTF">2016-12-09T03:49:00Z</dcterms:created>
  <dcterms:modified xsi:type="dcterms:W3CDTF">2016-12-09T03:49:00Z</dcterms:modified>
</cp:coreProperties>
</file>