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CE0" w:rsidP="00E14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MSFFL2034 Prepare subfloors with cementitious coating applications</w:t>
      </w:r>
      <w:r>
        <w:fldChar w:fldCharType="end"/>
      </w:r>
    </w:p>
    <w:p w:rsidR="00E14CE0" w:rsidP="00E14CE0">
      <w:pPr>
        <w:pStyle w:val="Version"/>
        <w:sectPr w:rsidSect="00495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02C" w:rsidP="0049502C">
      <w:pPr>
        <w:pStyle w:val="SuperHeading"/>
      </w:pPr>
      <w:r w:rsidRPr="0049502C">
        <w:t>Assessment Requirements for MSFFL2034 Prepare subfloors with cementitious coating applications</w:t>
      </w:r>
    </w:p>
    <w:p w:rsidR="00000000" w:rsidRPr="0049502C" w:rsidP="0049502C">
      <w:pPr>
        <w:pStyle w:val="Heading1"/>
      </w:pPr>
      <w:bookmarkStart w:id="1" w:name="O_1013422"/>
      <w:bookmarkEnd w:id="1"/>
      <w:r w:rsidRPr="0049502C">
        <w:t>Modification History</w:t>
      </w:r>
    </w:p>
    <w:p w:rsidR="00E14CE0" w:rsidP="00E14CE0">
      <w:pPr>
        <w:pStyle w:val="BodyText"/>
      </w:pPr>
      <w:r w:rsidRPr="0049502C">
        <w:t>Release 1. Supersedes and is not equivalent to MSF</w:t>
      </w:r>
      <w:r w:rsidRPr="0049502C">
        <w:t xml:space="preserve">FL2006 Prepare, select and apply smoothing and patching compounds, and, MSFFL2007 Select and apply appropriate compounds and additives. </w:t>
      </w:r>
    </w:p>
    <w:p w:rsidR="00000000" w:rsidRPr="0049502C" w:rsidP="0049502C">
      <w:pPr>
        <w:pStyle w:val="Heading1"/>
      </w:pPr>
      <w:bookmarkStart w:id="2" w:name="O_1013425"/>
      <w:bookmarkEnd w:id="2"/>
      <w:r w:rsidRPr="0049502C">
        <w:t>Performance Evidence</w:t>
      </w:r>
    </w:p>
    <w:p w:rsidR="00000000" w:rsidRPr="0049502C" w:rsidP="00E14CE0">
      <w:pPr>
        <w:pStyle w:val="BodyText"/>
      </w:pPr>
      <w:r w:rsidRPr="0049502C">
        <w:t>There must be evidence the candidate has completed the tasks outlined in the e</w:t>
      </w:r>
      <w:r w:rsidRPr="0049502C">
        <w:t xml:space="preserve">lements and performance criteria of this unit, and: </w:t>
      </w:r>
    </w:p>
    <w:p w:rsidR="00000000" w:rsidRPr="0049502C" w:rsidP="0049502C">
      <w:pPr>
        <w:pStyle w:val="ListBullet"/>
      </w:pPr>
      <w:r w:rsidRPr="0049502C">
        <w:t>achieved the required substrate finish with each of the following on both timber and concrete subfloors:</w:t>
      </w:r>
    </w:p>
    <w:p w:rsidR="00000000" w:rsidRPr="0049502C" w:rsidP="0049502C">
      <w:pPr>
        <w:pStyle w:val="ListBullet2"/>
      </w:pPr>
      <w:r w:rsidRPr="0049502C">
        <w:t>level coat to 3mm thickness</w:t>
      </w:r>
    </w:p>
    <w:p w:rsidR="00000000" w:rsidRPr="0049502C" w:rsidP="0049502C">
      <w:pPr>
        <w:pStyle w:val="ListBullet2"/>
      </w:pPr>
      <w:r w:rsidRPr="0049502C">
        <w:t xml:space="preserve">primer </w:t>
      </w:r>
    </w:p>
    <w:p w:rsidR="00000000" w:rsidRPr="0049502C" w:rsidP="0049502C">
      <w:pPr>
        <w:pStyle w:val="ListBullet2"/>
      </w:pPr>
      <w:r w:rsidRPr="0049502C">
        <w:t>rapid set mortar patch or ramp</w:t>
      </w:r>
    </w:p>
    <w:p w:rsidR="00E14CE0" w:rsidP="0049502C">
      <w:pPr>
        <w:pStyle w:val="ListBullet2"/>
      </w:pPr>
      <w:r w:rsidRPr="0049502C">
        <w:t>skim coat.</w:t>
      </w:r>
    </w:p>
    <w:p w:rsidR="00E14CE0" w:rsidP="0049502C">
      <w:pPr>
        <w:pStyle w:val="ListBullet2"/>
      </w:pPr>
    </w:p>
    <w:p w:rsidR="00000000" w:rsidRPr="0049502C" w:rsidP="0049502C">
      <w:pPr>
        <w:pStyle w:val="Heading1"/>
      </w:pPr>
      <w:bookmarkStart w:id="3" w:name="O_1013424"/>
      <w:bookmarkEnd w:id="3"/>
      <w:r w:rsidRPr="0049502C">
        <w:t>Knowledge Evidence</w:t>
      </w:r>
    </w:p>
    <w:p w:rsidR="00000000" w:rsidRPr="0049502C" w:rsidP="00E14CE0">
      <w:pPr>
        <w:pStyle w:val="BodyText"/>
      </w:pPr>
      <w:r w:rsidRPr="0049502C">
        <w:t>There must be evidence the candidate has knowledge of:</w:t>
      </w:r>
    </w:p>
    <w:p w:rsidR="00000000" w:rsidRPr="0049502C" w:rsidP="0049502C">
      <w:pPr>
        <w:pStyle w:val="ListBullet"/>
      </w:pPr>
      <w:r w:rsidRPr="0049502C">
        <w:t>mathematical procedures for estimation and measurement, including calculation of area and estimation of material requirements</w:t>
      </w:r>
    </w:p>
    <w:p w:rsidR="00000000" w:rsidRPr="0049502C" w:rsidP="0049502C">
      <w:pPr>
        <w:pStyle w:val="ListBullet"/>
      </w:pPr>
      <w:r w:rsidRPr="0049502C">
        <w:t>characteristics and requirements of concrete a</w:t>
      </w:r>
      <w:r w:rsidRPr="0049502C">
        <w:t>nd timber subfloor preparation</w:t>
      </w:r>
    </w:p>
    <w:p w:rsidR="00000000" w:rsidRPr="0049502C" w:rsidP="0049502C">
      <w:pPr>
        <w:pStyle w:val="ListBullet"/>
      </w:pPr>
      <w:r w:rsidRPr="0049502C">
        <w:t>characteristics and requirements of concrete and fibre board wall preparation</w:t>
      </w:r>
    </w:p>
    <w:p w:rsidR="00000000" w:rsidRPr="0049502C" w:rsidP="0049502C">
      <w:pPr>
        <w:pStyle w:val="ListBullet"/>
      </w:pPr>
      <w:r w:rsidRPr="0049502C">
        <w:t>application of compounds and additives:</w:t>
      </w:r>
    </w:p>
    <w:p w:rsidR="00000000" w:rsidRPr="0049502C" w:rsidP="0049502C">
      <w:pPr>
        <w:pStyle w:val="ListBullet2"/>
      </w:pPr>
      <w:r w:rsidRPr="0049502C">
        <w:t xml:space="preserve">workplace safety system requirements </w:t>
      </w:r>
    </w:p>
    <w:p w:rsidR="00000000" w:rsidRPr="0049502C" w:rsidP="0049502C">
      <w:pPr>
        <w:pStyle w:val="ListBullet2"/>
      </w:pPr>
      <w:r w:rsidRPr="0049502C">
        <w:t xml:space="preserve">environmental protection and sustainability requirements </w:t>
      </w:r>
    </w:p>
    <w:p w:rsidR="00000000" w:rsidRPr="0049502C" w:rsidP="0049502C">
      <w:pPr>
        <w:pStyle w:val="ListBullet2"/>
      </w:pPr>
      <w:r w:rsidRPr="0049502C">
        <w:t>how to acc</w:t>
      </w:r>
      <w:r w:rsidRPr="0049502C">
        <w:t>ess manufacturer instructions</w:t>
      </w:r>
    </w:p>
    <w:p w:rsidR="00000000" w:rsidRPr="0049502C" w:rsidP="0049502C">
      <w:pPr>
        <w:pStyle w:val="ListBullet"/>
      </w:pPr>
      <w:r w:rsidRPr="0049502C">
        <w:t xml:space="preserve">types, characteristics, uses and limitations of compounds and additives, including: </w:t>
      </w:r>
    </w:p>
    <w:p w:rsidR="00000000" w:rsidRPr="0049502C" w:rsidP="0049502C">
      <w:pPr>
        <w:pStyle w:val="ListBullet2"/>
      </w:pPr>
      <w:r w:rsidRPr="0049502C">
        <w:t xml:space="preserve">porous substrate primer </w:t>
      </w:r>
    </w:p>
    <w:p w:rsidR="00000000" w:rsidRPr="0049502C" w:rsidP="0049502C">
      <w:pPr>
        <w:pStyle w:val="ListBullet2"/>
      </w:pPr>
      <w:r w:rsidRPr="0049502C">
        <w:t>non-porous substrate primer</w:t>
      </w:r>
    </w:p>
    <w:p w:rsidR="00000000" w:rsidRPr="0049502C" w:rsidP="0049502C">
      <w:pPr>
        <w:pStyle w:val="ListBullet2"/>
      </w:pPr>
      <w:r w:rsidRPr="0049502C">
        <w:t xml:space="preserve">substrate moisture barrier and green slab primer  </w:t>
      </w:r>
    </w:p>
    <w:p w:rsidR="00000000" w:rsidRPr="0049502C" w:rsidP="0049502C">
      <w:pPr>
        <w:pStyle w:val="ListBullet2"/>
      </w:pPr>
      <w:r w:rsidRPr="0049502C">
        <w:t xml:space="preserve">fibre </w:t>
      </w:r>
    </w:p>
    <w:p w:rsidR="00000000" w:rsidRPr="0049502C" w:rsidP="0049502C">
      <w:pPr>
        <w:pStyle w:val="ListBullet2"/>
      </w:pPr>
      <w:r w:rsidRPr="0049502C">
        <w:t>high polymer cement-based finishes</w:t>
      </w:r>
    </w:p>
    <w:p w:rsidR="00000000" w:rsidRPr="0049502C" w:rsidP="0049502C">
      <w:pPr>
        <w:pStyle w:val="ListBullet2"/>
      </w:pPr>
      <w:r w:rsidRPr="0049502C">
        <w:t xml:space="preserve">latex powder and emulsion based subfloor smoothing compounds </w:t>
      </w:r>
    </w:p>
    <w:p w:rsidR="00000000" w:rsidRPr="0049502C" w:rsidP="0049502C">
      <w:pPr>
        <w:pStyle w:val="ListBullet2"/>
      </w:pPr>
      <w:r w:rsidRPr="0049502C">
        <w:t xml:space="preserve">levelling and smoothing compounds and primers </w:t>
      </w:r>
    </w:p>
    <w:p w:rsidR="00000000" w:rsidRPr="0049502C" w:rsidP="0049502C">
      <w:pPr>
        <w:pStyle w:val="ListBullet2"/>
      </w:pPr>
      <w:r w:rsidRPr="0049502C">
        <w:t xml:space="preserve">pumpable cement base floor leveller </w:t>
      </w:r>
    </w:p>
    <w:p w:rsidR="00000000" w:rsidRPr="0049502C" w:rsidP="0049502C">
      <w:pPr>
        <w:pStyle w:val="ListBullet2"/>
      </w:pPr>
      <w:r w:rsidRPr="0049502C">
        <w:t xml:space="preserve">rapid setting and drying repair mortar </w:t>
      </w:r>
    </w:p>
    <w:p w:rsidR="00000000" w:rsidRPr="0049502C" w:rsidP="0049502C">
      <w:pPr>
        <w:pStyle w:val="ListBullet2"/>
      </w:pPr>
      <w:r w:rsidRPr="0049502C">
        <w:t>self-smoothing and/or levelling cem</w:t>
      </w:r>
      <w:r w:rsidRPr="0049502C">
        <w:t xml:space="preserve">ents </w:t>
      </w:r>
    </w:p>
    <w:p w:rsidR="00000000" w:rsidRPr="0049502C" w:rsidP="0049502C">
      <w:pPr>
        <w:pStyle w:val="ListBullet2"/>
      </w:pPr>
      <w:r w:rsidRPr="0049502C">
        <w:t xml:space="preserve">synthetic resin dispersion </w:t>
      </w:r>
    </w:p>
    <w:p w:rsidR="00000000" w:rsidRPr="0049502C" w:rsidP="0049502C">
      <w:pPr>
        <w:pStyle w:val="ListBullet2"/>
      </w:pPr>
      <w:r w:rsidRPr="0049502C">
        <w:t xml:space="preserve">two part, chemically cured epoxy coating for porous concrete floors </w:t>
      </w:r>
    </w:p>
    <w:p w:rsidR="00000000" w:rsidRPr="0049502C" w:rsidP="0049502C">
      <w:pPr>
        <w:pStyle w:val="ListBullet2"/>
      </w:pPr>
      <w:r w:rsidRPr="0049502C">
        <w:t xml:space="preserve">graded aggregate for bulking </w:t>
      </w:r>
    </w:p>
    <w:p w:rsidR="00000000" w:rsidRPr="0049502C" w:rsidP="0049502C">
      <w:pPr>
        <w:pStyle w:val="ListBullet2"/>
      </w:pPr>
      <w:r w:rsidRPr="0049502C">
        <w:t xml:space="preserve">kiln dry sand for priming and bulking </w:t>
      </w:r>
    </w:p>
    <w:p w:rsidR="00000000" w:rsidRPr="0049502C" w:rsidP="0049502C">
      <w:pPr>
        <w:pStyle w:val="ListBullet"/>
      </w:pPr>
      <w:r w:rsidRPr="0049502C">
        <w:t>types, characteristics, safe use, maintenance and limitations of tools, equipment a</w:t>
      </w:r>
      <w:r w:rsidRPr="0049502C">
        <w:t xml:space="preserve">nd materials </w:t>
      </w:r>
    </w:p>
    <w:p w:rsidR="00000000" w:rsidRPr="0049502C" w:rsidP="0049502C">
      <w:pPr>
        <w:pStyle w:val="ListBullet"/>
      </w:pPr>
      <w:r w:rsidRPr="0049502C">
        <w:t>techniques for the application of compounds and additives, the types of problems that may occur, and how to avoid and respond</w:t>
      </w:r>
    </w:p>
    <w:p w:rsidR="00000000" w:rsidRPr="0049502C" w:rsidP="0049502C">
      <w:pPr>
        <w:pStyle w:val="ListBullet"/>
      </w:pPr>
      <w:r w:rsidRPr="0049502C">
        <w:t>quality indicators for subfloor surface finishes</w:t>
      </w:r>
    </w:p>
    <w:p w:rsidR="00E14CE0" w:rsidP="0049502C">
      <w:pPr>
        <w:pStyle w:val="ListBullet"/>
      </w:pPr>
      <w:r w:rsidRPr="0049502C">
        <w:t>procedures for the recording, reporting and maintenance of workplac</w:t>
      </w:r>
      <w:r w:rsidRPr="0049502C">
        <w:t>e records and information.</w:t>
      </w:r>
    </w:p>
    <w:p w:rsidR="00E14CE0" w:rsidP="0049502C">
      <w:pPr>
        <w:pStyle w:val="ListBullet"/>
      </w:pPr>
    </w:p>
    <w:p w:rsidR="00000000" w:rsidRPr="0049502C" w:rsidP="0049502C">
      <w:pPr>
        <w:pStyle w:val="Heading1"/>
      </w:pPr>
      <w:bookmarkStart w:id="4" w:name="O_1013423"/>
      <w:bookmarkEnd w:id="4"/>
      <w:r w:rsidRPr="0049502C">
        <w:t>Assessment Conditions</w:t>
      </w:r>
    </w:p>
    <w:p w:rsidR="00000000" w:rsidRPr="0049502C" w:rsidP="00E14CE0">
      <w:pPr>
        <w:pStyle w:val="BodyText"/>
      </w:pPr>
      <w:r w:rsidRPr="0049502C">
        <w:t xml:space="preserve">Skills must have been demonstrated in the workplace or in a simulated environment that reflects workplace conditions and contingencies. The following </w:t>
      </w:r>
      <w:r w:rsidRPr="0049502C">
        <w:t xml:space="preserve">conditions must be met for this unit: </w:t>
      </w:r>
    </w:p>
    <w:p w:rsidR="00000000" w:rsidRPr="0049502C" w:rsidP="0049502C">
      <w:pPr>
        <w:pStyle w:val="ListBullet"/>
      </w:pPr>
      <w:r w:rsidRPr="0049502C">
        <w:t xml:space="preserve">use of suitable facilities, equipment and resources, including: </w:t>
      </w:r>
    </w:p>
    <w:p w:rsidR="00000000" w:rsidRPr="0049502C" w:rsidP="0049502C">
      <w:pPr>
        <w:pStyle w:val="ListBullet2"/>
      </w:pPr>
      <w:r w:rsidRPr="0049502C">
        <w:t>subfloors requiring application of compounds and additives</w:t>
      </w:r>
    </w:p>
    <w:p w:rsidR="00000000" w:rsidRPr="0049502C" w:rsidP="0049502C">
      <w:pPr>
        <w:pStyle w:val="ListBullet2"/>
      </w:pPr>
      <w:r w:rsidRPr="0049502C">
        <w:t xml:space="preserve">compounds and additives </w:t>
      </w:r>
    </w:p>
    <w:p w:rsidR="00000000" w:rsidRPr="0049502C" w:rsidP="0049502C">
      <w:pPr>
        <w:pStyle w:val="ListBullet2"/>
      </w:pPr>
      <w:r w:rsidRPr="0049502C">
        <w:t>equipment, tools and materials to complete tasks in the Performanc</w:t>
      </w:r>
      <w:r w:rsidRPr="0049502C">
        <w:t>e Evidence</w:t>
      </w:r>
    </w:p>
    <w:p w:rsidR="00000000" w:rsidRPr="0049502C" w:rsidP="0049502C">
      <w:pPr>
        <w:pStyle w:val="ListBullet2"/>
      </w:pPr>
      <w:r w:rsidRPr="0049502C">
        <w:t xml:space="preserve">work orders </w:t>
      </w:r>
    </w:p>
    <w:p w:rsidR="00000000" w:rsidRPr="0049502C" w:rsidP="0049502C">
      <w:pPr>
        <w:pStyle w:val="ListBullet2"/>
      </w:pPr>
      <w:r w:rsidRPr="0049502C">
        <w:t>workplace procedures.</w:t>
      </w:r>
    </w:p>
    <w:p w:rsidR="00E14CE0" w:rsidP="00E14CE0">
      <w:pPr>
        <w:pStyle w:val="BodyText"/>
      </w:pPr>
      <w:r w:rsidRPr="0049502C">
        <w:t>Assessors must satisfy the NVR/AQTF mandatory competency requirements for assessors.</w:t>
      </w:r>
    </w:p>
    <w:p w:rsidR="00000000" w:rsidRPr="0049502C" w:rsidP="0049502C">
      <w:pPr>
        <w:pStyle w:val="Heading1"/>
      </w:pPr>
      <w:bookmarkStart w:id="5" w:name="O_1013421"/>
      <w:bookmarkEnd w:id="5"/>
      <w:r w:rsidRPr="0049502C">
        <w:t>Links</w:t>
      </w:r>
    </w:p>
    <w:p w:rsidR="00000000" w:rsidRPr="0049502C" w:rsidP="00E14CE0">
      <w:pPr>
        <w:pStyle w:val="BodyText"/>
      </w:pPr>
      <w:r w:rsidRPr="004950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00DA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502C" w:rsidP="0049502C"/>
    <w:sectPr w:rsidSect="004950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2C" w:rsidRPr="00E14CE0" w:rsidP="00E14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E0" w:rsidP="00495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CE0" w:rsidP="00495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CE0" w:rsidP="00495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02C" w:rsidRPr="00E14CE0" w:rsidP="00E14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E0" w:rsidRPr="002D2AF8" w:rsidP="00495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MSFFL2034 Prepare subfloors with cementitious coating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14CE0" w:rsidP="00495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4FF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42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2E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02C"/>
  </w:style>
  <w:style w:type="character" w:customStyle="1" w:styleId="Heading1Char">
    <w:name w:val="Heading 1 Char"/>
    <w:basedOn w:val="DefaultParagraphFont"/>
    <w:link w:val="Heading1"/>
    <w:rsid w:val="00495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0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50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5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502C"/>
    <w:rPr>
      <w:b/>
      <w:spacing w:val="0"/>
    </w:rPr>
  </w:style>
  <w:style w:type="paragraph" w:customStyle="1" w:styleId="SuperTitle">
    <w:name w:val="SuperTitle"/>
    <w:basedOn w:val="Title"/>
    <w:rsid w:val="00495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5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02C"/>
    <w:rPr>
      <w:i/>
    </w:rPr>
  </w:style>
  <w:style w:type="paragraph" w:styleId="Caption">
    <w:name w:val="caption"/>
    <w:basedOn w:val="BodyText"/>
    <w:next w:val="Normal"/>
    <w:qFormat/>
    <w:rsid w:val="00495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02C"/>
  </w:style>
  <w:style w:type="paragraph" w:styleId="TableofFigures">
    <w:name w:val="table of figures"/>
    <w:basedOn w:val="Normal"/>
    <w:next w:val="Normal"/>
    <w:semiHidden/>
    <w:rsid w:val="00495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0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502C"/>
    <w:rPr>
      <w:rFonts w:ascii="Wingdings" w:hAnsi="Wingdings"/>
    </w:rPr>
  </w:style>
  <w:style w:type="paragraph" w:customStyle="1" w:styleId="TableHeading">
    <w:name w:val="Table Heading"/>
    <w:basedOn w:val="HeadingBase"/>
    <w:rsid w:val="00495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02C"/>
    <w:rPr>
      <w:color w:val="0033CC"/>
      <w:u w:val="none"/>
    </w:rPr>
  </w:style>
  <w:style w:type="paragraph" w:customStyle="1" w:styleId="BodyTextRight">
    <w:name w:val="Body Text Right"/>
    <w:basedOn w:val="BodyText"/>
    <w:rsid w:val="00495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0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02C"/>
    <w:rPr>
      <w:sz w:val="32"/>
    </w:rPr>
  </w:style>
  <w:style w:type="paragraph" w:customStyle="1" w:styleId="HeadingProcedure">
    <w:name w:val="Heading Procedure"/>
    <w:basedOn w:val="HeadingBase"/>
    <w:next w:val="Normal"/>
    <w:rsid w:val="00495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02C"/>
    <w:pPr>
      <w:spacing w:before="60" w:after="60"/>
    </w:pPr>
  </w:style>
  <w:style w:type="paragraph" w:styleId="ListContinue">
    <w:name w:val="List Continue"/>
    <w:basedOn w:val="List"/>
    <w:rsid w:val="0049502C"/>
    <w:pPr>
      <w:ind w:firstLine="0"/>
    </w:pPr>
  </w:style>
  <w:style w:type="paragraph" w:customStyle="1" w:styleId="ListNote">
    <w:name w:val="List Note"/>
    <w:basedOn w:val="List"/>
    <w:rsid w:val="00495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02C"/>
    <w:rPr>
      <w:rFonts w:ascii="Courier New" w:hAnsi="Courier New"/>
    </w:rPr>
  </w:style>
  <w:style w:type="paragraph" w:customStyle="1" w:styleId="NoteBullet">
    <w:name w:val="Note Bullet"/>
    <w:basedOn w:val="Note"/>
    <w:rsid w:val="00495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5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02C"/>
    <w:rPr>
      <w:b/>
      <w:smallCaps/>
    </w:rPr>
  </w:style>
  <w:style w:type="paragraph" w:customStyle="1" w:styleId="TableListNumber">
    <w:name w:val="Table List Number"/>
    <w:basedOn w:val="ListNumber"/>
    <w:rsid w:val="00495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02C"/>
    <w:pPr>
      <w:numPr>
        <w:numId w:val="9"/>
      </w:numPr>
    </w:pPr>
  </w:style>
  <w:style w:type="paragraph" w:customStyle="1" w:styleId="ListAlpha2">
    <w:name w:val="List Alpha 2"/>
    <w:basedOn w:val="List2"/>
    <w:rsid w:val="0049502C"/>
    <w:pPr>
      <w:numPr>
        <w:numId w:val="8"/>
      </w:numPr>
    </w:pPr>
  </w:style>
  <w:style w:type="paragraph" w:styleId="List2">
    <w:name w:val="List 2"/>
    <w:basedOn w:val="BodyText"/>
    <w:rsid w:val="00495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0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502C"/>
    <w:pPr>
      <w:numPr>
        <w:numId w:val="4"/>
      </w:numPr>
    </w:pPr>
  </w:style>
  <w:style w:type="paragraph" w:styleId="ListContinue2">
    <w:name w:val="List Continue 2"/>
    <w:basedOn w:val="List2"/>
    <w:rsid w:val="0049502C"/>
    <w:pPr>
      <w:ind w:firstLine="0"/>
    </w:pPr>
  </w:style>
  <w:style w:type="paragraph" w:styleId="ListContinue3">
    <w:name w:val="List Continue 3"/>
    <w:basedOn w:val="List3"/>
    <w:rsid w:val="0049502C"/>
    <w:pPr>
      <w:ind w:left="1021" w:firstLine="0"/>
    </w:pPr>
  </w:style>
  <w:style w:type="paragraph" w:styleId="ListContinue4">
    <w:name w:val="List Continue 4"/>
    <w:basedOn w:val="List4"/>
    <w:rsid w:val="0049502C"/>
    <w:pPr>
      <w:ind w:firstLine="0"/>
    </w:pPr>
  </w:style>
  <w:style w:type="paragraph" w:styleId="ListContinue5">
    <w:name w:val="List Continue 5"/>
    <w:basedOn w:val="List5"/>
    <w:rsid w:val="0049502C"/>
    <w:pPr>
      <w:ind w:firstLine="0"/>
    </w:pPr>
  </w:style>
  <w:style w:type="paragraph" w:styleId="ListNumber3">
    <w:name w:val="List Number 3"/>
    <w:basedOn w:val="List3"/>
    <w:rsid w:val="0049502C"/>
    <w:pPr>
      <w:numPr>
        <w:numId w:val="5"/>
      </w:numPr>
    </w:pPr>
  </w:style>
  <w:style w:type="paragraph" w:styleId="ListNumber4">
    <w:name w:val="List Number 4"/>
    <w:basedOn w:val="List4"/>
    <w:rsid w:val="0049502C"/>
    <w:pPr>
      <w:numPr>
        <w:numId w:val="6"/>
      </w:numPr>
    </w:pPr>
  </w:style>
  <w:style w:type="paragraph" w:styleId="ListNumber5">
    <w:name w:val="List Number 5"/>
    <w:basedOn w:val="List5"/>
    <w:rsid w:val="0049502C"/>
    <w:pPr>
      <w:numPr>
        <w:numId w:val="7"/>
      </w:numPr>
    </w:pPr>
  </w:style>
  <w:style w:type="paragraph" w:styleId="BlockText">
    <w:name w:val="Block Text"/>
    <w:basedOn w:val="Normal"/>
    <w:rsid w:val="00495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02C"/>
    <w:rPr>
      <w:sz w:val="16"/>
      <w:vertAlign w:val="superscript"/>
    </w:rPr>
  </w:style>
  <w:style w:type="character" w:customStyle="1" w:styleId="Symbols">
    <w:name w:val="Symbols"/>
    <w:basedOn w:val="DefaultParagraphFont"/>
    <w:rsid w:val="0049502C"/>
    <w:rPr>
      <w:rFonts w:ascii="Symbol" w:hAnsi="Symbol"/>
    </w:rPr>
  </w:style>
  <w:style w:type="character" w:customStyle="1" w:styleId="MenuOptions">
    <w:name w:val="Menu Options"/>
    <w:basedOn w:val="DefaultParagraphFont"/>
    <w:rsid w:val="00495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02C"/>
    <w:rPr>
      <w:b/>
    </w:rPr>
  </w:style>
  <w:style w:type="character" w:customStyle="1" w:styleId="Underlined">
    <w:name w:val="Underlined"/>
    <w:basedOn w:val="DefaultParagraphFont"/>
    <w:rsid w:val="0049502C"/>
    <w:rPr>
      <w:u w:val="single"/>
    </w:rPr>
  </w:style>
  <w:style w:type="paragraph" w:customStyle="1" w:styleId="TableBodyTextRight">
    <w:name w:val="Table Body Text Right"/>
    <w:basedOn w:val="TableBodyText"/>
    <w:rsid w:val="00495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02C"/>
    <w:rPr>
      <w:sz w:val="18"/>
    </w:rPr>
  </w:style>
  <w:style w:type="paragraph" w:customStyle="1" w:styleId="BodySmallRight">
    <w:name w:val="Body Small Right"/>
    <w:basedOn w:val="BodyTextRight"/>
    <w:rsid w:val="0049502C"/>
    <w:rPr>
      <w:sz w:val="18"/>
      <w:szCs w:val="18"/>
    </w:rPr>
  </w:style>
  <w:style w:type="paragraph" w:customStyle="1" w:styleId="MarginEdition">
    <w:name w:val="Margin Edition"/>
    <w:basedOn w:val="MarginNote"/>
    <w:rsid w:val="00495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02C"/>
    <w:rPr>
      <w:sz w:val="2"/>
      <w:szCs w:val="2"/>
    </w:rPr>
  </w:style>
  <w:style w:type="character" w:customStyle="1" w:styleId="Small">
    <w:name w:val="Small"/>
    <w:basedOn w:val="DefaultParagraphFont"/>
    <w:rsid w:val="0049502C"/>
    <w:rPr>
      <w:sz w:val="16"/>
    </w:rPr>
  </w:style>
  <w:style w:type="paragraph" w:customStyle="1" w:styleId="WideTable">
    <w:name w:val="Wide Table"/>
    <w:basedOn w:val="Normal"/>
    <w:rsid w:val="00495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02C"/>
  </w:style>
  <w:style w:type="paragraph" w:styleId="Quote">
    <w:name w:val="Quote"/>
    <w:basedOn w:val="Heading1"/>
    <w:link w:val="QuoteChar"/>
    <w:qFormat/>
    <w:rsid w:val="00495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02C"/>
    <w:pPr>
      <w:pageBreakBefore/>
    </w:pPr>
  </w:style>
  <w:style w:type="paragraph" w:customStyle="1" w:styleId="Border">
    <w:name w:val="Border"/>
    <w:basedOn w:val="Normal"/>
    <w:qFormat/>
    <w:rsid w:val="00495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02C"/>
    <w:rPr>
      <w:u w:val="single"/>
    </w:rPr>
  </w:style>
  <w:style w:type="character" w:customStyle="1" w:styleId="BoldandItalics">
    <w:name w:val="Bold and Italics"/>
    <w:qFormat/>
    <w:rsid w:val="0049502C"/>
    <w:rPr>
      <w:b/>
      <w:i/>
      <w:u w:val="none"/>
    </w:rPr>
  </w:style>
  <w:style w:type="paragraph" w:styleId="BalloonText">
    <w:name w:val="Balloon Text"/>
    <w:basedOn w:val="Normal"/>
    <w:link w:val="BalloonTextChar"/>
    <w:rsid w:val="00495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02C"/>
    <w:pPr>
      <w:spacing w:before="0" w:after="0"/>
    </w:pPr>
  </w:style>
  <w:style w:type="paragraph" w:customStyle="1" w:styleId="BodyTextBold">
    <w:name w:val="Body Text Bold"/>
    <w:basedOn w:val="BodyText"/>
    <w:qFormat/>
    <w:rsid w:val="0049502C"/>
    <w:rPr>
      <w:b/>
    </w:rPr>
  </w:style>
  <w:style w:type="character" w:styleId="Hyperlink">
    <w:name w:val="Hyperlink"/>
    <w:basedOn w:val="DefaultParagraphFont"/>
    <w:uiPriority w:val="99"/>
    <w:unhideWhenUsed/>
    <w:rsid w:val="00E14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2744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MSFFL2034 Prepare subfloors with cementitious coating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