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3E8" w:rsidP="000D43E8">
      <w:pPr>
        <w:pStyle w:val="Title"/>
      </w:pPr>
      <w:r>
        <w:fldChar w:fldCharType="begin"/>
      </w:r>
      <w:r>
        <w:instrText xml:space="preserve"> TITLE   \* MERGEFORMAT </w:instrText>
      </w:r>
      <w:r>
        <w:fldChar w:fldCharType="separate"/>
      </w:r>
      <w:r>
        <w:t>MSFFL2027 Install expansion joints</w:t>
      </w:r>
      <w:r>
        <w:fldChar w:fldCharType="end"/>
      </w:r>
    </w:p>
    <w:p w:rsidR="000D43E8" w:rsidP="000D43E8">
      <w:pPr>
        <w:pStyle w:val="Version"/>
        <w:sectPr w:rsidSect="00FD76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6AC" w:rsidP="00FD76AC">
      <w:pPr>
        <w:pStyle w:val="SuperHeading"/>
      </w:pPr>
      <w:r w:rsidRPr="00FD76AC">
        <w:t>MSFFL2027 Install expansion joints</w:t>
      </w:r>
    </w:p>
    <w:p w:rsidR="00000000" w:rsidRPr="00FD76AC" w:rsidP="00FD76AC">
      <w:pPr>
        <w:pStyle w:val="Heading1"/>
      </w:pPr>
      <w:bookmarkStart w:id="1" w:name="O_635520"/>
      <w:bookmarkEnd w:id="1"/>
      <w:r w:rsidRPr="00FD76AC">
        <w:t>Modification History</w:t>
      </w:r>
    </w:p>
    <w:p w:rsidR="00000000" w:rsidRPr="00FD76AC" w:rsidP="00FD76AC">
      <w:pPr>
        <w:pStyle w:val="BodyText"/>
      </w:pPr>
      <w:r w:rsidRPr="00FD76AC">
        <w:t>Release 1 - New unit of competency</w:t>
      </w:r>
    </w:p>
    <w:p w:rsidR="00000000" w:rsidRPr="00FD76AC" w:rsidP="00FD76AC">
      <w:pPr>
        <w:pStyle w:val="AllowPageBreak"/>
      </w:pPr>
    </w:p>
    <w:p w:rsidR="00000000" w:rsidRPr="00FD76AC" w:rsidP="00FD76AC">
      <w:pPr>
        <w:pStyle w:val="Heading1"/>
      </w:pPr>
      <w:bookmarkStart w:id="2" w:name="O_635528"/>
      <w:bookmarkEnd w:id="2"/>
      <w:r w:rsidRPr="00FD76AC">
        <w:t>Application</w:t>
      </w:r>
    </w:p>
    <w:p w:rsidR="00000000" w:rsidRPr="00FD76AC" w:rsidP="00FD76AC">
      <w:pPr>
        <w:pStyle w:val="BodyText"/>
      </w:pPr>
      <w:r w:rsidRPr="00FD76AC">
        <w:t xml:space="preserve">This unit of competency covers installing expansion joints and gaps, calculating how many and how often they are to be installed, and what size and type are necessary for </w:t>
      </w:r>
      <w:r w:rsidRPr="00FD76AC">
        <w:t>the application at hand.</w:t>
      </w:r>
    </w:p>
    <w:p w:rsidR="00000000" w:rsidRPr="00FD76AC" w:rsidP="00FD76AC">
      <w:pPr>
        <w:pStyle w:val="BodyText"/>
      </w:pPr>
    </w:p>
    <w:p w:rsidR="00000000" w:rsidRPr="00FD76AC" w:rsidP="00FD76AC">
      <w:pPr>
        <w:pStyle w:val="BodyText"/>
      </w:pPr>
      <w:r w:rsidRPr="00FD76AC">
        <w:t>Licensing, legislative or certification requirements may apply to this unit and relevant state/territory and local government agencies should be consulted to determine any necessary certification or licensing for undertaking floor</w:t>
      </w:r>
      <w:r w:rsidRPr="00FD76AC">
        <w:t>ing work. Access to construction sites requires certification of general induction training specified by the National Code of Practice for Induction for Construction Work (ASCC 2007).</w:t>
      </w:r>
    </w:p>
    <w:p w:rsidR="00000000" w:rsidRPr="00FD76AC" w:rsidP="00FD76AC">
      <w:pPr>
        <w:pStyle w:val="AllowPageBreak"/>
      </w:pPr>
    </w:p>
    <w:p w:rsidR="00000000" w:rsidRPr="00FD76AC" w:rsidP="00FD76AC">
      <w:pPr>
        <w:pStyle w:val="Heading1"/>
      </w:pPr>
      <w:bookmarkStart w:id="3" w:name="O_635527"/>
      <w:bookmarkEnd w:id="3"/>
      <w:r w:rsidRPr="00FD76AC">
        <w:t>Pre-requisite Unit</w:t>
      </w:r>
    </w:p>
    <w:p w:rsidR="00000000" w:rsidRPr="00FD76AC" w:rsidP="00FD76AC">
      <w:pPr>
        <w:pStyle w:val="Heading1"/>
      </w:pPr>
      <w:bookmarkStart w:id="4" w:name="O_635526"/>
      <w:bookmarkEnd w:id="4"/>
      <w:r w:rsidRPr="00FD76AC">
        <w:t>Competency Field</w:t>
      </w:r>
    </w:p>
    <w:p w:rsidR="00000000" w:rsidRPr="00FD76AC" w:rsidP="00FD76AC">
      <w:pPr>
        <w:pStyle w:val="Heading1"/>
      </w:pPr>
      <w:bookmarkStart w:id="5" w:name="O_635525"/>
      <w:bookmarkEnd w:id="5"/>
      <w:r w:rsidRPr="00FD76AC">
        <w:t>Unit Sector</w:t>
      </w:r>
    </w:p>
    <w:p w:rsidR="00000000" w:rsidRPr="00FD76AC" w:rsidP="00FD76AC">
      <w:pPr>
        <w:pStyle w:val="BodyText"/>
      </w:pPr>
      <w:r w:rsidRPr="00FD76AC">
        <w:t>Flooring technology</w:t>
      </w:r>
    </w:p>
    <w:p w:rsidR="00000000" w:rsidRPr="00FD76AC" w:rsidP="00FD76AC">
      <w:pPr>
        <w:pStyle w:val="AllowPageBreak"/>
      </w:pPr>
    </w:p>
    <w:p w:rsidR="00000000" w:rsidRPr="00FD76AC" w:rsidP="00FD76AC">
      <w:pPr>
        <w:pStyle w:val="Heading1"/>
      </w:pPr>
      <w:bookmarkStart w:id="6" w:name="O_635524"/>
      <w:bookmarkEnd w:id="6"/>
      <w:r w:rsidRPr="00FD76A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76A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Performance criteria describe the performance needed to demonstrate achievement of the element.</w:t>
            </w:r>
          </w:p>
        </w:tc>
      </w:tr>
      <w:tr w:rsidTr="00FD76A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1</w:t>
            </w:r>
          </w:p>
        </w:tc>
        <w:tc>
          <w:tcPr>
            <w:tcW w:w="1962"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Prepare for work</w:t>
            </w: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1.1</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Applicable work health and safety (WHS), legislative and organisational requirements relevant to the installation of expansion joints to timber and engineered flooring are verified and complied with</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1.2</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Instructions and/or plans are read and interpr</w:t>
            </w:r>
            <w:r w:rsidRPr="00FD76AC">
              <w:t>eted to identify process required to complete work tasks</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1.3</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 xml:space="preserve">Timber and engineered flooring is assessed for the type, number and installation requirements of expansion joints consistent with Australian </w:t>
            </w:r>
            <w:r w:rsidRPr="00FD76AC">
              <w:t>Standards, industry standards and manufacturer recommendations</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1.4</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Suitable expansion joints, cover strips, fixings and adhesives are selected as required</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1.5</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Tools, equipment and materials are selected and checked prior to use to ensure that they ar</w:t>
            </w:r>
            <w:r w:rsidRPr="00FD76AC">
              <w:t>e appropriate for the work, serviceable and in a safe condition</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1.6</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Sequence of work is planned, including the position of each expansion joint, to ensure efficiency and quality of installation</w:t>
            </w:r>
          </w:p>
        </w:tc>
      </w:tr>
      <w:tr w:rsidTr="00FD76A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2</w:t>
            </w:r>
          </w:p>
        </w:tc>
        <w:tc>
          <w:tcPr>
            <w:tcW w:w="1962"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Set out expansion joints for installation</w:t>
            </w: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2.1</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Expansion joints are positioned according to the requirements of the flooring type, manufacturer specifications and Australian Standards</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2.2</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 xml:space="preserve">Timber or metal mouldings or cork expansion strip for fixing are organised and used in accordance with relevant </w:t>
            </w:r>
            <w:r w:rsidRPr="00FD76AC">
              <w:t>safety management requirements</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2.3</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Adhesives and fixings, are prepared for use as required</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2.4</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 xml:space="preserve">Working lines and starting point are established </w:t>
            </w:r>
          </w:p>
        </w:tc>
      </w:tr>
      <w:tr w:rsidTr="00FD76A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3</w:t>
            </w:r>
          </w:p>
        </w:tc>
        <w:tc>
          <w:tcPr>
            <w:tcW w:w="1962"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Prepare expansion joints</w:t>
            </w: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3.1</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Instructions and sequence for cutting and fixing are followed</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3.2</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Timber or metal mouldings are laid out to meet directional sequence, pattern match, specification requirements and to minimise waste and joins, as appropriate</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3.3</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The aesthetics of the materials are maximised, where appropriate, matching grains and colours</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3.4</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Timber or metal moulding or cork expansion strip materials are accurately and clearly marked for cutting</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3.5</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 xml:space="preserve">Timber or metal moulding or cork expansion </w:t>
            </w:r>
            <w:r w:rsidRPr="00FD76AC">
              <w:t>strip is cut to length and size for final fixing ensuring minimum waste</w:t>
            </w:r>
          </w:p>
        </w:tc>
      </w:tr>
      <w:tr w:rsidTr="00FD76A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4</w:t>
            </w:r>
          </w:p>
        </w:tc>
        <w:tc>
          <w:tcPr>
            <w:tcW w:w="1962"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Install expansion joints</w:t>
            </w: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4.1</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Timber or metal mouldings or cork expansion strip for fixing are organised and used in accordance with relevant safety management requirements</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4.2</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Adhesives and mechanical fixings are prepared for use as required</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4.3</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 xml:space="preserve">Fixing methods and equipment are used following </w:t>
            </w:r>
            <w:r w:rsidRPr="00FD76AC">
              <w:t>manufacturer recommendations</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4.4</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Timber or metal mouldings or cork expansion strip are fitted to perimeter wall expansion gaps, expa</w:t>
            </w:r>
            <w:r w:rsidRPr="00FD76AC">
              <w:t xml:space="preserve">nsion joints in the body of the flooring or transitions of the timber or engineered flooring  </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4.5</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Finished job is inspected and any imperfections are rectified following workplace procedures</w:t>
            </w:r>
          </w:p>
        </w:tc>
      </w:tr>
      <w:tr w:rsidTr="00FD76A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5</w:t>
            </w:r>
          </w:p>
        </w:tc>
        <w:tc>
          <w:tcPr>
            <w:tcW w:w="1962" w:type="dxa"/>
            <w:vMerge w:val="restart"/>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Complete housekeeping</w:t>
            </w: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5.1</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Unused</w:t>
            </w:r>
            <w:r w:rsidRPr="00FD76AC">
              <w:t xml:space="preserve"> materials are stored or recycled as required</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5.2</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Tools and equipment are cleaned and stored appropriately</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5.3</w:t>
            </w:r>
          </w:p>
        </w:tc>
        <w:tc>
          <w:tcPr>
            <w:tcW w:w="561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Work area is cleaned and rubbish disposed of appropriately</w:t>
            </w:r>
          </w:p>
        </w:tc>
      </w:tr>
      <w:tr w:rsidTr="00FD76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5.4</w:t>
            </w:r>
          </w:p>
        </w:tc>
        <w:tc>
          <w:tcPr>
            <w:tcW w:w="5610" w:type="dxa"/>
            <w:tcBorders>
              <w:top w:val="nil"/>
              <w:left w:val="nil"/>
              <w:bottom w:val="nil"/>
              <w:right w:val="nil"/>
            </w:tcBorders>
            <w:tcMar>
              <w:top w:w="0" w:type="dxa"/>
              <w:left w:w="62" w:type="dxa"/>
              <w:bottom w:w="0" w:type="dxa"/>
              <w:right w:w="62" w:type="dxa"/>
            </w:tcMar>
          </w:tcPr>
          <w:p w:rsidR="00000000" w:rsidRPr="00FD76AC" w:rsidP="00FD76AC">
            <w:pPr>
              <w:pStyle w:val="BodyText"/>
            </w:pPr>
            <w:r w:rsidRPr="00FD76AC">
              <w:t>Workplace documentation is completed</w:t>
            </w:r>
          </w:p>
        </w:tc>
      </w:tr>
    </w:tbl>
    <w:p w:rsidR="00000000" w:rsidRPr="00FD76AC" w:rsidP="00FD76AC">
      <w:pPr>
        <w:pStyle w:val="BodyText"/>
      </w:pPr>
    </w:p>
    <w:p w:rsidR="00000000" w:rsidRPr="00FD76AC" w:rsidP="00FD76AC">
      <w:pPr>
        <w:pStyle w:val="AllowPageBreak"/>
      </w:pPr>
    </w:p>
    <w:p w:rsidR="00000000" w:rsidRPr="00FD76AC" w:rsidP="00FD76AC">
      <w:pPr>
        <w:pStyle w:val="Heading1"/>
      </w:pPr>
      <w:bookmarkStart w:id="7" w:name="O_635523"/>
      <w:bookmarkEnd w:id="7"/>
      <w:r w:rsidRPr="00FD76AC">
        <w:t>Foundation Skills</w:t>
      </w:r>
    </w:p>
    <w:p w:rsidR="000D43E8" w:rsidP="00FD76AC">
      <w:pPr>
        <w:pStyle w:val="BodyText"/>
      </w:pPr>
      <w:r w:rsidRPr="00FD76AC">
        <w:t xml:space="preserve">Foundation skills essential to performance are explicit in the performance criteria of this unit of competency. Detail on appropriate performance levels for each furnishing unit of competency in reading, writing, oral communication and numeracy utilising </w:t>
      </w:r>
      <w:r w:rsidRPr="00FD76AC">
        <w:t xml:space="preserve">the Australian Core Skills Framework (ACSF) are provided in the Furnishing Training Package Implementation Guide. </w:t>
      </w:r>
    </w:p>
    <w:p w:rsidR="000D43E8" w:rsidP="00FD76AC">
      <w:pPr>
        <w:pStyle w:val="BodyText"/>
      </w:pPr>
    </w:p>
    <w:p w:rsidR="00000000" w:rsidRPr="00FD76AC" w:rsidP="00FD76AC">
      <w:pPr>
        <w:pStyle w:val="Heading1"/>
      </w:pPr>
      <w:bookmarkStart w:id="8" w:name="O_635522"/>
      <w:bookmarkEnd w:id="8"/>
      <w:r w:rsidRPr="00FD76AC">
        <w:t>Range of Conditions</w:t>
      </w:r>
    </w:p>
    <w:tbl>
      <w:tblPr>
        <w:tblW w:w="0" w:type="auto"/>
        <w:tblLayout w:type="fixed"/>
        <w:tblCellMar>
          <w:left w:w="62" w:type="dxa"/>
          <w:right w:w="62" w:type="dxa"/>
        </w:tblCellMar>
        <w:tblLook w:val="0000"/>
      </w:tblPr>
      <w:tblGrid>
        <w:gridCol w:w="2760"/>
        <w:gridCol w:w="6312"/>
      </w:tblGrid>
      <w:tr w:rsidTr="00FD7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t>Specifies different work environments and conditions that may affect performance. Essential operating c</w:t>
            </w:r>
            <w:r w:rsidRPr="00FD76AC">
              <w:t>onditions that may be present (depending on the work situation, needs of the candidate, accessibility of the item, and local industry and regional contexts) are included. Range is restricted to essential operating conditions and any other variables essenti</w:t>
            </w:r>
            <w:r w:rsidRPr="00FD76AC">
              <w:t>al to the work environment.</w:t>
            </w:r>
          </w:p>
        </w:tc>
      </w:tr>
      <w:tr w:rsidTr="00FD7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D76AC" w:rsidP="00FD76AC">
            <w:pPr>
              <w:pStyle w:val="ListBullet"/>
            </w:pPr>
            <w:r w:rsidRPr="00FD76AC">
              <w:t xml:space="preserve">WHS requirements, including legislation, building codes, material safety management systems, hazardous and dangerous goods codes, and local safe operating procedures or equivalent </w:t>
            </w:r>
          </w:p>
          <w:p w:rsidR="00000000" w:rsidRPr="00FD76AC" w:rsidP="00FD76AC">
            <w:pPr>
              <w:pStyle w:val="ListBullet"/>
            </w:pPr>
            <w:r w:rsidRPr="00FD76AC">
              <w:t xml:space="preserve">work is carried out in accordance with legislative obligations, environmental legislation, relevant health regulations, manual handling procedures and organisation insurance requirements </w:t>
            </w:r>
          </w:p>
          <w:p w:rsidR="00000000" w:rsidP="00FD76AC">
            <w:pPr>
              <w:pStyle w:val="ListBullet"/>
              <w:rPr>
                <w:lang w:val="en-NZ"/>
              </w:rPr>
            </w:pPr>
            <w:r w:rsidRPr="00FD76AC">
              <w:t>work requires individual to demonstrate some discretion, judgement a</w:t>
            </w:r>
            <w:r w:rsidRPr="00FD76AC">
              <w:t xml:space="preserve">nd problem solving </w:t>
            </w:r>
          </w:p>
        </w:tc>
      </w:tr>
      <w:tr w:rsidTr="00FD7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rPr>
                <w:rStyle w:val="SpecialBold"/>
              </w:rPr>
              <w:t>Expansion joint materials include:</w:t>
            </w:r>
          </w:p>
        </w:tc>
        <w:tc>
          <w:tcPr>
            <w:tcW w:w="6312" w:type="dxa"/>
            <w:tcBorders>
              <w:top w:val="nil"/>
              <w:left w:val="nil"/>
              <w:bottom w:val="nil"/>
              <w:right w:val="nil"/>
            </w:tcBorders>
            <w:tcMar>
              <w:top w:w="0" w:type="dxa"/>
              <w:left w:w="62" w:type="dxa"/>
              <w:bottom w:w="0" w:type="dxa"/>
              <w:right w:w="62" w:type="dxa"/>
            </w:tcMar>
          </w:tcPr>
          <w:p w:rsidR="00000000" w:rsidRPr="00FD76AC" w:rsidP="00FD76AC">
            <w:pPr>
              <w:pStyle w:val="ListBullet"/>
            </w:pPr>
            <w:r w:rsidRPr="00FD76AC">
              <w:t xml:space="preserve">skirtings </w:t>
            </w:r>
          </w:p>
          <w:p w:rsidR="00000000" w:rsidRPr="00FD76AC" w:rsidP="00FD76AC">
            <w:pPr>
              <w:pStyle w:val="ListBullet"/>
            </w:pPr>
            <w:r w:rsidRPr="00FD76AC">
              <w:t xml:space="preserve">scotias </w:t>
            </w:r>
          </w:p>
          <w:p w:rsidR="00000000" w:rsidRPr="00FD76AC" w:rsidP="00FD76AC">
            <w:pPr>
              <w:pStyle w:val="ListBullet"/>
            </w:pPr>
            <w:r w:rsidRPr="00FD76AC">
              <w:t xml:space="preserve">quads </w:t>
            </w:r>
          </w:p>
          <w:p w:rsidR="00000000" w:rsidRPr="00FD76AC" w:rsidP="00FD76AC">
            <w:pPr>
              <w:pStyle w:val="ListBullet"/>
            </w:pPr>
            <w:r w:rsidRPr="00FD76AC">
              <w:t xml:space="preserve">beading  </w:t>
            </w:r>
          </w:p>
          <w:p w:rsidR="00000000" w:rsidRPr="00FD76AC" w:rsidP="00FD76AC">
            <w:pPr>
              <w:pStyle w:val="ListBullet"/>
            </w:pPr>
            <w:r w:rsidRPr="00FD76AC">
              <w:t xml:space="preserve">cover strips  </w:t>
            </w:r>
          </w:p>
          <w:p w:rsidR="00000000" w:rsidRPr="00FD76AC" w:rsidP="00FD76AC">
            <w:pPr>
              <w:pStyle w:val="ListBullet"/>
            </w:pPr>
            <w:r w:rsidRPr="00FD76AC">
              <w:t xml:space="preserve">threshold strips (end, edge and T mouldings) </w:t>
            </w:r>
          </w:p>
          <w:p w:rsidR="00000000" w:rsidRPr="00FD76AC" w:rsidP="00FD76AC">
            <w:pPr>
              <w:pStyle w:val="ListBullet"/>
            </w:pPr>
            <w:r w:rsidRPr="00FD76AC">
              <w:t xml:space="preserve">angle end sections </w:t>
            </w:r>
          </w:p>
          <w:p w:rsidR="00000000" w:rsidRPr="00FD76AC" w:rsidP="00FD76AC">
            <w:pPr>
              <w:pStyle w:val="ListBullet"/>
            </w:pPr>
            <w:r w:rsidRPr="00FD76AC">
              <w:t xml:space="preserve">reducer strips </w:t>
            </w:r>
          </w:p>
          <w:p w:rsidR="00000000" w:rsidRPr="00FD76AC" w:rsidP="00FD76AC">
            <w:pPr>
              <w:pStyle w:val="ListBullet"/>
            </w:pPr>
            <w:r w:rsidRPr="00FD76AC">
              <w:t xml:space="preserve">ramping strips </w:t>
            </w:r>
          </w:p>
          <w:p w:rsidR="00000000" w:rsidP="00FD76AC">
            <w:pPr>
              <w:pStyle w:val="ListBullet"/>
              <w:rPr>
                <w:lang w:val="en-NZ"/>
              </w:rPr>
            </w:pPr>
            <w:r w:rsidRPr="00FD76AC">
              <w:t>stair nosings</w:t>
            </w:r>
          </w:p>
        </w:tc>
      </w:tr>
      <w:tr w:rsidTr="00FD7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D76AC" w:rsidP="00FD76AC">
            <w:pPr>
              <w:pStyle w:val="ListBullet"/>
            </w:pPr>
            <w:r w:rsidRPr="00FD76AC">
              <w:t xml:space="preserve">adhesives </w:t>
            </w:r>
          </w:p>
          <w:p w:rsidR="00000000" w:rsidRPr="00FD76AC" w:rsidP="00FD76AC">
            <w:pPr>
              <w:pStyle w:val="ListBullet"/>
            </w:pPr>
            <w:r w:rsidRPr="00FD76AC">
              <w:t xml:space="preserve">metal fixings </w:t>
            </w:r>
          </w:p>
          <w:p w:rsidR="00000000" w:rsidRPr="00FD76AC" w:rsidP="00FD76AC">
            <w:pPr>
              <w:pStyle w:val="ListBullet"/>
            </w:pPr>
            <w:r w:rsidRPr="00FD76AC">
              <w:t xml:space="preserve">timber and metal mouldings </w:t>
            </w:r>
          </w:p>
          <w:p w:rsidR="00000000" w:rsidP="00FD76AC">
            <w:pPr>
              <w:pStyle w:val="ListBullet"/>
              <w:rPr>
                <w:lang w:val="en-NZ"/>
              </w:rPr>
            </w:pPr>
            <w:r w:rsidRPr="00FD76AC">
              <w:t xml:space="preserve">cork expansion strip </w:t>
            </w:r>
          </w:p>
        </w:tc>
      </w:tr>
      <w:tr w:rsidTr="00FD7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FD76AC" w:rsidP="00FD76AC">
            <w:pPr>
              <w:pStyle w:val="ListBullet"/>
            </w:pPr>
            <w:r w:rsidRPr="00FD76AC">
              <w:t>polyvinyl alcohol (PVA)</w:t>
            </w:r>
          </w:p>
          <w:p w:rsidR="00000000" w:rsidRPr="00FD76AC" w:rsidP="00FD76AC">
            <w:pPr>
              <w:pStyle w:val="ListBullet"/>
            </w:pPr>
            <w:r w:rsidRPr="00FD76AC">
              <w:t xml:space="preserve">epoxy </w:t>
            </w:r>
          </w:p>
          <w:p w:rsidR="00000000" w:rsidP="00FD76AC">
            <w:pPr>
              <w:pStyle w:val="ListBullet"/>
              <w:rPr>
                <w:lang w:val="en-NZ"/>
              </w:rPr>
            </w:pPr>
            <w:r w:rsidRPr="00FD76AC">
              <w:t>polyurethane elastomeric</w:t>
            </w:r>
          </w:p>
        </w:tc>
      </w:tr>
      <w:tr w:rsidTr="00FD7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rPr>
                <w:rStyle w:val="SpecialBold"/>
              </w:rPr>
              <w:t>Mechanical fixings include:</w:t>
            </w:r>
          </w:p>
        </w:tc>
        <w:tc>
          <w:tcPr>
            <w:tcW w:w="6312" w:type="dxa"/>
            <w:tcBorders>
              <w:top w:val="nil"/>
              <w:left w:val="nil"/>
              <w:bottom w:val="nil"/>
              <w:right w:val="nil"/>
            </w:tcBorders>
            <w:tcMar>
              <w:top w:w="0" w:type="dxa"/>
              <w:left w:w="62" w:type="dxa"/>
              <w:bottom w:w="0" w:type="dxa"/>
              <w:right w:w="62" w:type="dxa"/>
            </w:tcMar>
          </w:tcPr>
          <w:p w:rsidR="00000000" w:rsidRPr="00FD76AC" w:rsidP="00FD76AC">
            <w:pPr>
              <w:pStyle w:val="ListBullet"/>
            </w:pPr>
            <w:r w:rsidRPr="00FD76AC">
              <w:t xml:space="preserve">ring grooved nails </w:t>
            </w:r>
          </w:p>
          <w:p w:rsidR="00000000" w:rsidRPr="00FD76AC" w:rsidP="00FD76AC">
            <w:pPr>
              <w:pStyle w:val="ListBullet"/>
            </w:pPr>
            <w:r w:rsidRPr="00FD76AC">
              <w:t xml:space="preserve">pins </w:t>
            </w:r>
          </w:p>
          <w:p w:rsidR="00000000" w:rsidRPr="00FD76AC" w:rsidP="00FD76AC">
            <w:pPr>
              <w:pStyle w:val="ListBullet"/>
            </w:pPr>
            <w:r w:rsidRPr="00FD76AC">
              <w:t xml:space="preserve">staples </w:t>
            </w:r>
          </w:p>
          <w:p w:rsidR="00000000" w:rsidRPr="00FD76AC" w:rsidP="00FD76AC">
            <w:pPr>
              <w:pStyle w:val="ListBullet"/>
            </w:pPr>
            <w:r w:rsidRPr="00FD76AC">
              <w:t>screws</w:t>
            </w:r>
          </w:p>
          <w:p w:rsidR="00000000" w:rsidRPr="00FD76AC" w:rsidP="00FD76AC">
            <w:pPr>
              <w:pStyle w:val="ListBullet"/>
            </w:pPr>
            <w:r w:rsidRPr="00FD76AC">
              <w:t xml:space="preserve">nylon plug </w:t>
            </w:r>
          </w:p>
          <w:p w:rsidR="00000000" w:rsidRPr="00FD76AC" w:rsidP="00FD76AC">
            <w:pPr>
              <w:pStyle w:val="ListBullet"/>
            </w:pPr>
            <w:r w:rsidRPr="00FD76AC">
              <w:t xml:space="preserve">screws (tap-ins) </w:t>
            </w:r>
          </w:p>
          <w:p w:rsidR="00000000" w:rsidP="00FD76AC">
            <w:pPr>
              <w:pStyle w:val="ListBullet"/>
              <w:rPr>
                <w:lang w:val="en-NZ"/>
              </w:rPr>
            </w:pPr>
            <w:r w:rsidRPr="00FD76AC">
              <w:t xml:space="preserve">rawl plugs </w:t>
            </w:r>
          </w:p>
        </w:tc>
      </w:tr>
      <w:tr w:rsidTr="00FD7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D76AC" w:rsidP="00FD76AC">
            <w:pPr>
              <w:pStyle w:val="ListBullet"/>
            </w:pPr>
            <w:r w:rsidRPr="00FD76AC">
              <w:t>jig saw</w:t>
            </w:r>
          </w:p>
          <w:p w:rsidR="00000000" w:rsidRPr="00FD76AC" w:rsidP="00FD76AC">
            <w:pPr>
              <w:pStyle w:val="ListBullet"/>
            </w:pPr>
            <w:r w:rsidRPr="00FD76AC">
              <w:t>hand saw</w:t>
            </w:r>
          </w:p>
          <w:p w:rsidR="00000000" w:rsidRPr="00FD76AC" w:rsidP="00FD76AC">
            <w:pPr>
              <w:pStyle w:val="ListBullet"/>
            </w:pPr>
            <w:r w:rsidRPr="00FD76AC">
              <w:t xml:space="preserve">hacksaw </w:t>
            </w:r>
          </w:p>
          <w:p w:rsidR="00000000" w:rsidRPr="00FD76AC" w:rsidP="00FD76AC">
            <w:pPr>
              <w:pStyle w:val="ListBullet"/>
            </w:pPr>
            <w:r w:rsidRPr="00FD76AC">
              <w:t xml:space="preserve">hammer </w:t>
            </w:r>
          </w:p>
          <w:p w:rsidR="00000000" w:rsidRPr="00FD76AC" w:rsidP="00FD76AC">
            <w:pPr>
              <w:pStyle w:val="ListBullet"/>
            </w:pPr>
            <w:r w:rsidRPr="00FD76AC">
              <w:t xml:space="preserve">nail punch </w:t>
            </w:r>
          </w:p>
          <w:p w:rsidR="00000000" w:rsidRPr="00FD76AC" w:rsidP="00FD76AC">
            <w:pPr>
              <w:pStyle w:val="ListBullet"/>
            </w:pPr>
            <w:r w:rsidRPr="00FD76AC">
              <w:t xml:space="preserve">bar scriber </w:t>
            </w:r>
          </w:p>
          <w:p w:rsidR="00000000" w:rsidRPr="00FD76AC" w:rsidP="00FD76AC">
            <w:pPr>
              <w:pStyle w:val="ListBullet"/>
            </w:pPr>
            <w:r w:rsidRPr="00FD76AC">
              <w:t xml:space="preserve">utility knife </w:t>
            </w:r>
          </w:p>
          <w:p w:rsidR="00000000" w:rsidRPr="00FD76AC" w:rsidP="00FD76AC">
            <w:pPr>
              <w:pStyle w:val="ListBullet"/>
            </w:pPr>
            <w:r w:rsidRPr="00FD76AC">
              <w:t xml:space="preserve">circular saw </w:t>
            </w:r>
          </w:p>
          <w:p w:rsidR="00000000" w:rsidRPr="00FD76AC" w:rsidP="00FD76AC">
            <w:pPr>
              <w:pStyle w:val="ListBullet"/>
            </w:pPr>
            <w:r w:rsidRPr="00FD76AC">
              <w:t xml:space="preserve">bench saw </w:t>
            </w:r>
          </w:p>
          <w:p w:rsidR="00000000" w:rsidRPr="00FD76AC" w:rsidP="00FD76AC">
            <w:pPr>
              <w:pStyle w:val="ListBullet"/>
            </w:pPr>
            <w:r w:rsidRPr="00FD76AC">
              <w:t>straight edge</w:t>
            </w:r>
          </w:p>
          <w:p w:rsidR="00000000" w:rsidP="00FD76AC">
            <w:pPr>
              <w:pStyle w:val="ListBullet"/>
              <w:rPr>
                <w:lang w:val="en-NZ"/>
              </w:rPr>
            </w:pPr>
            <w:r w:rsidRPr="00FD76AC">
              <w:t xml:space="preserve">staple gun </w:t>
            </w:r>
          </w:p>
        </w:tc>
      </w:tr>
      <w:tr w:rsidTr="00FD7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76AC">
            <w:pPr>
              <w:pStyle w:val="BodyText"/>
              <w:rPr>
                <w:lang w:val="en-NZ"/>
              </w:rPr>
            </w:pPr>
            <w:r w:rsidRPr="00FD76A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D76AC">
            <w:pPr>
              <w:pStyle w:val="ListBullet"/>
              <w:rPr>
                <w:lang w:val="en-NZ"/>
              </w:rPr>
            </w:pPr>
            <w:r w:rsidRPr="00FD76AC">
              <w:t xml:space="preserve">that prescribed under legislation, regulations and enterprise policies and practices </w:t>
            </w:r>
          </w:p>
        </w:tc>
      </w:tr>
      <w:tr w:rsidTr="00FD7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D76AC" w:rsidP="00FD76AC">
            <w:pPr>
              <w:pStyle w:val="BodyText"/>
            </w:pPr>
            <w:r w:rsidRPr="00FD76AC">
              <w:rPr>
                <w:rStyle w:val="SpecialBold"/>
              </w:rPr>
              <w:t>Information and procedures include:</w:t>
            </w:r>
          </w:p>
          <w:p w:rsidR="00000000" w:rsidP="00FD76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D76AC" w:rsidP="00FD76AC">
            <w:pPr>
              <w:pStyle w:val="ListBullet"/>
            </w:pPr>
            <w:r w:rsidRPr="00FD76AC">
              <w:t xml:space="preserve">Australian Standard AS I684.1-1999 Residential timber-framed construction – Deign criteria and the Australian Timber Code </w:t>
            </w:r>
          </w:p>
          <w:p w:rsidR="00000000" w:rsidRPr="00FD76AC" w:rsidP="00FD76AC">
            <w:pPr>
              <w:pStyle w:val="ListBullet"/>
            </w:pPr>
            <w:r w:rsidRPr="00FD76AC">
              <w:t xml:space="preserve">workplace procedures relating to the use of tools and equipment </w:t>
            </w:r>
          </w:p>
          <w:p w:rsidR="00000000" w:rsidRPr="00FD76AC" w:rsidP="00FD76AC">
            <w:pPr>
              <w:pStyle w:val="ListBullet"/>
            </w:pPr>
            <w:r w:rsidRPr="00FD76AC">
              <w:t xml:space="preserve">work instructions, including job sheets, cutting lists, plans, drawings and designs </w:t>
            </w:r>
          </w:p>
          <w:p w:rsidR="00000000" w:rsidRPr="00FD76AC" w:rsidP="00FD76AC">
            <w:pPr>
              <w:pStyle w:val="ListBullet"/>
            </w:pPr>
            <w:r w:rsidRPr="00FD76AC">
              <w:t xml:space="preserve">workplace procedures relating to reporting and communication </w:t>
            </w:r>
          </w:p>
          <w:p w:rsidR="00000000" w:rsidRPr="00FD76AC" w:rsidP="00FD76AC">
            <w:pPr>
              <w:pStyle w:val="ListBullet"/>
            </w:pPr>
            <w:r w:rsidRPr="00FD76AC">
              <w:t xml:space="preserve">manufacturer specifications and operational </w:t>
            </w:r>
            <w:r w:rsidRPr="00FD76AC">
              <w:t xml:space="preserve">procedures </w:t>
            </w:r>
          </w:p>
        </w:tc>
      </w:tr>
    </w:tbl>
    <w:p w:rsidR="00000000" w:rsidRPr="00FD76AC" w:rsidP="00FD76AC">
      <w:pPr>
        <w:pStyle w:val="BodyText"/>
      </w:pPr>
    </w:p>
    <w:p w:rsidR="00000000" w:rsidRPr="00FD76AC" w:rsidP="00FD76AC">
      <w:pPr>
        <w:pStyle w:val="AllowPageBreak"/>
      </w:pPr>
    </w:p>
    <w:p w:rsidR="00000000" w:rsidRPr="00FD76AC" w:rsidP="00FD76AC">
      <w:pPr>
        <w:pStyle w:val="Heading1"/>
      </w:pPr>
      <w:bookmarkStart w:id="9" w:name="O_635521"/>
      <w:bookmarkEnd w:id="9"/>
      <w:r w:rsidRPr="00FD76AC">
        <w:t>Unit Mapping Information</w:t>
      </w:r>
    </w:p>
    <w:p w:rsidR="00000000" w:rsidRPr="00FD76AC" w:rsidP="00FD76AC">
      <w:pPr>
        <w:pStyle w:val="BodyText"/>
      </w:pPr>
      <w:r w:rsidRPr="00FD76AC">
        <w:t>Supersedes and is equivalent to LMFFL2504A Install expansion joints</w:t>
      </w:r>
    </w:p>
    <w:p w:rsidR="00000000" w:rsidRPr="00FD76AC" w:rsidP="00FD76AC">
      <w:pPr>
        <w:pStyle w:val="AllowPageBreak"/>
      </w:pPr>
    </w:p>
    <w:p w:rsidR="00000000" w:rsidRPr="00FD76AC" w:rsidP="00FD76AC">
      <w:pPr>
        <w:pStyle w:val="Heading1"/>
      </w:pPr>
      <w:bookmarkStart w:id="10" w:name="O_635514"/>
      <w:bookmarkEnd w:id="10"/>
      <w:r w:rsidRPr="00FD76AC">
        <w:t>Links</w:t>
      </w:r>
    </w:p>
    <w:p w:rsidR="00000000" w:rsidRPr="00FD76AC" w:rsidP="00FD76AC">
      <w:pPr>
        <w:pStyle w:val="BodyText"/>
      </w:pPr>
      <w:r w:rsidRPr="00FD76AC">
        <w:t>Companion Volume implementation guides are found in VETNet - https://vetnet.education.gov.au/Pages/TrainingDo</w:t>
      </w:r>
      <w:r w:rsidRPr="00FD76AC">
        <w:t>cs.aspx?q=0601ab95-583a-4e93-b2d4-cfb27b03ed73</w:t>
      </w:r>
    </w:p>
    <w:p w:rsidR="00000000" w:rsidRPr="00FD76AC" w:rsidP="00FD76AC"/>
    <w:sectPr w:rsidSect="00FD76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C" w:rsidRPr="000D43E8" w:rsidP="000D4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E8" w:rsidP="00FD7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43E8" w:rsidP="00FD76A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43E8" w:rsidP="00FD76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6AC" w:rsidRPr="000D43E8" w:rsidP="000D43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E8" w:rsidRPr="002D2AF8" w:rsidP="00FD76AC">
    <w:pPr>
      <w:pStyle w:val="Header"/>
      <w:framePr w:wrap="around"/>
    </w:pPr>
    <w:r>
      <w:fldChar w:fldCharType="begin"/>
    </w:r>
    <w:r>
      <w:instrText xml:space="preserve"> TITLE   \* MERGEFORMAT </w:instrText>
    </w:r>
    <w:r>
      <w:fldChar w:fldCharType="separate"/>
    </w:r>
    <w:r>
      <w:t>MSFFL2027 Install expansion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D43E8" w:rsidP="00FD7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084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D425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6AC"/>
    <w:pPr>
      <w:spacing w:before="360" w:after="60"/>
      <w:outlineLvl w:val="0"/>
    </w:pPr>
    <w:rPr>
      <w:sz w:val="32"/>
    </w:rPr>
  </w:style>
  <w:style w:type="paragraph" w:styleId="Heading2">
    <w:name w:val="heading 2"/>
    <w:basedOn w:val="HeadingBase"/>
    <w:next w:val="BodyText"/>
    <w:link w:val="Heading2Char"/>
    <w:qFormat/>
    <w:rsid w:val="00FD76AC"/>
    <w:pPr>
      <w:keepLines/>
      <w:spacing w:before="240" w:after="120"/>
      <w:outlineLvl w:val="1"/>
    </w:pPr>
    <w:rPr>
      <w:sz w:val="28"/>
      <w:szCs w:val="40"/>
    </w:rPr>
  </w:style>
  <w:style w:type="paragraph" w:styleId="Heading3">
    <w:name w:val="heading 3"/>
    <w:basedOn w:val="HeadingBase"/>
    <w:next w:val="BodyText"/>
    <w:link w:val="Heading3Char"/>
    <w:qFormat/>
    <w:rsid w:val="00FD76AC"/>
    <w:pPr>
      <w:spacing w:before="180" w:after="120"/>
      <w:outlineLvl w:val="2"/>
    </w:pPr>
    <w:rPr>
      <w:spacing w:val="-10"/>
      <w:kern w:val="32"/>
    </w:rPr>
  </w:style>
  <w:style w:type="paragraph" w:styleId="Heading4">
    <w:name w:val="heading 4"/>
    <w:basedOn w:val="HeadingBase"/>
    <w:next w:val="BodyText"/>
    <w:link w:val="Heading4Char"/>
    <w:qFormat/>
    <w:rsid w:val="00FD76AC"/>
    <w:pPr>
      <w:spacing w:before="160" w:after="120"/>
      <w:outlineLvl w:val="3"/>
    </w:pPr>
    <w:rPr>
      <w:sz w:val="22"/>
    </w:rPr>
  </w:style>
  <w:style w:type="paragraph" w:styleId="Heading5">
    <w:name w:val="heading 5"/>
    <w:basedOn w:val="HeadingBase"/>
    <w:next w:val="Normal"/>
    <w:link w:val="Heading5Char"/>
    <w:qFormat/>
    <w:rsid w:val="00FD76AC"/>
    <w:pPr>
      <w:spacing w:before="80"/>
      <w:outlineLvl w:val="4"/>
    </w:pPr>
    <w:rPr>
      <w:color w:val="918585"/>
      <w:sz w:val="20"/>
    </w:rPr>
  </w:style>
  <w:style w:type="paragraph" w:styleId="Heading6">
    <w:name w:val="heading 6"/>
    <w:basedOn w:val="HeadingBase"/>
    <w:next w:val="Normal"/>
    <w:link w:val="Heading6Char"/>
    <w:qFormat/>
    <w:rsid w:val="00FD76AC"/>
    <w:pPr>
      <w:spacing w:before="60"/>
      <w:outlineLvl w:val="5"/>
    </w:pPr>
    <w:rPr>
      <w:color w:val="918585"/>
      <w:sz w:val="20"/>
    </w:rPr>
  </w:style>
  <w:style w:type="paragraph" w:styleId="Heading7">
    <w:name w:val="heading 7"/>
    <w:basedOn w:val="Normal"/>
    <w:next w:val="Normal"/>
    <w:link w:val="Heading7Char"/>
    <w:qFormat/>
    <w:rsid w:val="00FD76AC"/>
    <w:pPr>
      <w:ind w:left="720"/>
      <w:outlineLvl w:val="6"/>
    </w:pPr>
    <w:rPr>
      <w:i/>
    </w:rPr>
  </w:style>
  <w:style w:type="paragraph" w:styleId="Heading8">
    <w:name w:val="heading 8"/>
    <w:basedOn w:val="Normal"/>
    <w:next w:val="Normal"/>
    <w:link w:val="Heading8Char"/>
    <w:qFormat/>
    <w:rsid w:val="00FD76AC"/>
    <w:pPr>
      <w:ind w:left="720"/>
      <w:outlineLvl w:val="7"/>
    </w:pPr>
    <w:rPr>
      <w:i/>
    </w:rPr>
  </w:style>
  <w:style w:type="paragraph" w:styleId="Heading9">
    <w:name w:val="heading 9"/>
    <w:basedOn w:val="Normal"/>
    <w:next w:val="Normal"/>
    <w:link w:val="Heading9Char"/>
    <w:qFormat/>
    <w:rsid w:val="00FD76AC"/>
    <w:pPr>
      <w:ind w:left="720"/>
      <w:outlineLvl w:val="8"/>
    </w:pPr>
    <w:rPr>
      <w:i/>
    </w:rPr>
  </w:style>
  <w:style w:type="character" w:default="1" w:styleId="DefaultParagraphFont">
    <w:name w:val="Default Paragraph Font"/>
    <w:uiPriority w:val="1"/>
    <w:unhideWhenUsed/>
    <w:rsid w:val="00FD7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6AC"/>
  </w:style>
  <w:style w:type="character" w:customStyle="1" w:styleId="Heading1Char">
    <w:name w:val="Heading 1 Char"/>
    <w:basedOn w:val="DefaultParagraphFont"/>
    <w:link w:val="Heading1"/>
    <w:rsid w:val="00FD76AC"/>
    <w:rPr>
      <w:rFonts w:ascii="Times New Roman" w:eastAsia="Times New Roman" w:hAnsi="Times New Roman" w:cs="Times New Roman"/>
      <w:b/>
      <w:sz w:val="32"/>
      <w:szCs w:val="20"/>
      <w:lang w:eastAsia="en-US"/>
    </w:rPr>
  </w:style>
  <w:style w:type="paragraph" w:styleId="BodyText">
    <w:name w:val="Body Text"/>
    <w:basedOn w:val="Normal"/>
    <w:link w:val="BodyTextChar"/>
    <w:rsid w:val="00FD76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6AC"/>
    <w:rPr>
      <w:rFonts w:ascii="Times New Roman" w:eastAsia="Times New Roman" w:hAnsi="Times New Roman" w:cs="Times New Roman"/>
      <w:sz w:val="24"/>
      <w:lang w:eastAsia="en-US"/>
    </w:rPr>
  </w:style>
  <w:style w:type="paragraph" w:styleId="ListBullet">
    <w:name w:val="List Bullet"/>
    <w:basedOn w:val="List"/>
    <w:rsid w:val="00FD76AC"/>
    <w:pPr>
      <w:numPr>
        <w:numId w:val="12"/>
      </w:numPr>
      <w:tabs>
        <w:tab w:val="clear" w:pos="340"/>
      </w:tabs>
      <w:spacing w:before="40" w:after="40"/>
    </w:pPr>
  </w:style>
  <w:style w:type="character" w:customStyle="1" w:styleId="SpecialBold">
    <w:name w:val="Special Bold"/>
    <w:basedOn w:val="DefaultParagraphFont"/>
    <w:rsid w:val="00FD76AC"/>
    <w:rPr>
      <w:b/>
      <w:spacing w:val="0"/>
    </w:rPr>
  </w:style>
  <w:style w:type="paragraph" w:customStyle="1" w:styleId="SuperHeading">
    <w:name w:val="SuperHeading"/>
    <w:basedOn w:val="Normal"/>
    <w:rsid w:val="00FD76AC"/>
    <w:pPr>
      <w:spacing w:before="240" w:after="120"/>
      <w:outlineLvl w:val="0"/>
    </w:pPr>
    <w:rPr>
      <w:rFonts w:ascii="Times New Roman" w:hAnsi="Times New Roman"/>
      <w:b/>
      <w:sz w:val="32"/>
    </w:rPr>
  </w:style>
  <w:style w:type="paragraph" w:customStyle="1" w:styleId="AllowPageBreak">
    <w:name w:val="AllowPageBreak"/>
    <w:rsid w:val="00FD76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7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6AC"/>
    <w:rPr>
      <w:rFonts w:ascii="Courier New" w:eastAsia="Times New Roman" w:hAnsi="Courier New" w:cs="Times New Roman"/>
      <w:i/>
      <w:szCs w:val="20"/>
      <w:lang w:eastAsia="en-US"/>
    </w:rPr>
  </w:style>
  <w:style w:type="paragraph" w:customStyle="1" w:styleId="HeadingBase">
    <w:name w:val="Heading Base"/>
    <w:rsid w:val="00FD7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6AC"/>
    <w:pPr>
      <w:tabs>
        <w:tab w:val="right" w:leader="dot" w:pos="9072"/>
      </w:tabs>
      <w:ind w:left="567"/>
    </w:pPr>
    <w:rPr>
      <w:szCs w:val="22"/>
    </w:rPr>
  </w:style>
  <w:style w:type="paragraph" w:customStyle="1" w:styleId="TOCBase">
    <w:name w:val="TOC Base"/>
    <w:rsid w:val="00FD7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6AC"/>
    <w:pPr>
      <w:tabs>
        <w:tab w:val="right" w:leader="dot" w:pos="9072"/>
      </w:tabs>
      <w:spacing w:before="40" w:after="40"/>
      <w:ind w:left="284"/>
    </w:pPr>
    <w:rPr>
      <w:rFonts w:ascii="Times New Roman" w:hAnsi="Times New Roman"/>
    </w:rPr>
  </w:style>
  <w:style w:type="paragraph" w:styleId="TOC1">
    <w:name w:val="toc 1"/>
    <w:basedOn w:val="TOCBase"/>
    <w:next w:val="Normal"/>
    <w:rsid w:val="00FD76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6AC"/>
    <w:rPr>
      <w:rFonts w:ascii="Times New Roman" w:eastAsia="Times New Roman" w:hAnsi="Times New Roman" w:cs="Times New Roman"/>
      <w:sz w:val="16"/>
      <w:lang w:eastAsia="en-US"/>
    </w:rPr>
  </w:style>
  <w:style w:type="paragraph" w:styleId="Title">
    <w:name w:val="Title"/>
    <w:basedOn w:val="HeadingBase"/>
    <w:link w:val="TitleChar"/>
    <w:qFormat/>
    <w:rsid w:val="00FD76AC"/>
    <w:pPr>
      <w:spacing w:before="5040"/>
      <w:jc w:val="center"/>
    </w:pPr>
    <w:rPr>
      <w:sz w:val="48"/>
      <w:szCs w:val="72"/>
      <w:lang w:val="en-US"/>
    </w:rPr>
  </w:style>
  <w:style w:type="character" w:customStyle="1" w:styleId="TitleChar">
    <w:name w:val="Title Char"/>
    <w:basedOn w:val="DefaultParagraphFont"/>
    <w:link w:val="Title"/>
    <w:rsid w:val="00FD7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6AC"/>
    <w:pPr>
      <w:tabs>
        <w:tab w:val="left" w:pos="3600"/>
        <w:tab w:val="left" w:pos="3958"/>
      </w:tabs>
    </w:pPr>
  </w:style>
  <w:style w:type="paragraph" w:styleId="List">
    <w:name w:val="List"/>
    <w:basedOn w:val="BodyText"/>
    <w:next w:val="BodyText"/>
    <w:rsid w:val="00FD76AC"/>
    <w:pPr>
      <w:tabs>
        <w:tab w:val="left" w:pos="340"/>
      </w:tabs>
      <w:spacing w:before="60" w:after="60"/>
      <w:ind w:left="340" w:hanging="340"/>
    </w:pPr>
  </w:style>
  <w:style w:type="paragraph" w:customStyle="1" w:styleId="Note">
    <w:name w:val="Note"/>
    <w:basedOn w:val="BodyText"/>
    <w:rsid w:val="00FD7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6AC"/>
    <w:pPr>
      <w:framePr w:wrap="auto" w:hAnchor="text" w:y="6049"/>
    </w:pPr>
    <w:rPr>
      <w:color w:val="000000"/>
      <w:sz w:val="40"/>
    </w:rPr>
  </w:style>
  <w:style w:type="paragraph" w:customStyle="1" w:styleId="TOCTitle">
    <w:name w:val="TOCTitle"/>
    <w:basedOn w:val="Heading1"/>
    <w:rsid w:val="00FD76AC"/>
    <w:pPr>
      <w:spacing w:after="240"/>
      <w:jc w:val="center"/>
      <w:outlineLvl w:val="9"/>
    </w:pPr>
    <w:rPr>
      <w:caps/>
    </w:rPr>
  </w:style>
  <w:style w:type="paragraph" w:customStyle="1" w:styleId="Version">
    <w:name w:val="Version"/>
    <w:rsid w:val="00FD76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6AC"/>
    <w:pPr>
      <w:numPr>
        <w:numId w:val="13"/>
      </w:numPr>
      <w:tabs>
        <w:tab w:val="clear" w:pos="680"/>
      </w:tabs>
    </w:pPr>
  </w:style>
  <w:style w:type="paragraph" w:styleId="Index1">
    <w:name w:val="index 1"/>
    <w:basedOn w:val="Normal"/>
    <w:next w:val="Normal"/>
    <w:semiHidden/>
    <w:rsid w:val="00FD76AC"/>
    <w:pPr>
      <w:keepNext w:val="0"/>
      <w:tabs>
        <w:tab w:val="right" w:pos="4176"/>
      </w:tabs>
      <w:ind w:left="198" w:hanging="198"/>
    </w:pPr>
    <w:rPr>
      <w:rFonts w:ascii="Garamond" w:hAnsi="Garamond"/>
    </w:rPr>
  </w:style>
  <w:style w:type="paragraph" w:styleId="IndexHeading">
    <w:name w:val="index heading"/>
    <w:basedOn w:val="Normal"/>
    <w:next w:val="Index1"/>
    <w:semiHidden/>
    <w:rsid w:val="00FD76AC"/>
    <w:pPr>
      <w:spacing w:before="120" w:after="120"/>
    </w:pPr>
    <w:rPr>
      <w:rFonts w:ascii="Arial" w:hAnsi="Arial"/>
      <w:b/>
      <w:color w:val="918585"/>
      <w:sz w:val="24"/>
    </w:rPr>
  </w:style>
  <w:style w:type="paragraph" w:styleId="Header">
    <w:name w:val="header"/>
    <w:basedOn w:val="Normal"/>
    <w:link w:val="HeaderChar"/>
    <w:rsid w:val="00FD7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6AC"/>
    <w:rPr>
      <w:rFonts w:ascii="Times New Roman" w:eastAsia="Times New Roman" w:hAnsi="Times New Roman" w:cs="Times New Roman"/>
      <w:sz w:val="16"/>
      <w:szCs w:val="20"/>
      <w:lang w:val="en-GB" w:eastAsia="en-US"/>
    </w:rPr>
  </w:style>
  <w:style w:type="paragraph" w:customStyle="1" w:styleId="Chapter">
    <w:name w:val="Chapter"/>
    <w:basedOn w:val="Normal"/>
    <w:rsid w:val="00FD76AC"/>
    <w:pPr>
      <w:spacing w:before="240"/>
    </w:pPr>
    <w:rPr>
      <w:rFonts w:ascii="Times New Roman" w:hAnsi="Times New Roman"/>
      <w:smallCaps/>
      <w:spacing w:val="80"/>
      <w:sz w:val="28"/>
    </w:rPr>
  </w:style>
  <w:style w:type="paragraph" w:customStyle="1" w:styleId="InChapter">
    <w:name w:val="InChapter"/>
    <w:basedOn w:val="Heading3"/>
    <w:rsid w:val="00FD76AC"/>
    <w:pPr>
      <w:spacing w:after="240"/>
      <w:outlineLvl w:val="9"/>
    </w:pPr>
    <w:rPr>
      <w:noProof/>
    </w:rPr>
  </w:style>
  <w:style w:type="paragraph" w:styleId="Index2">
    <w:name w:val="index 2"/>
    <w:basedOn w:val="Normal"/>
    <w:next w:val="Normal"/>
    <w:semiHidden/>
    <w:rsid w:val="00FD76AC"/>
    <w:pPr>
      <w:tabs>
        <w:tab w:val="right" w:pos="4176"/>
      </w:tabs>
      <w:ind w:left="568" w:hanging="284"/>
    </w:pPr>
    <w:rPr>
      <w:rFonts w:ascii="Garamond" w:hAnsi="Garamond"/>
    </w:rPr>
  </w:style>
  <w:style w:type="paragraph" w:customStyle="1" w:styleId="Byline">
    <w:name w:val="Byline"/>
    <w:rsid w:val="00FD7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6AC"/>
    <w:pPr>
      <w:tabs>
        <w:tab w:val="clear" w:pos="3600"/>
        <w:tab w:val="clear" w:pos="3958"/>
      </w:tabs>
      <w:jc w:val="right"/>
    </w:pPr>
  </w:style>
  <w:style w:type="character" w:styleId="Emphasis">
    <w:name w:val="Emphasis"/>
    <w:basedOn w:val="DefaultParagraphFont"/>
    <w:qFormat/>
    <w:rsid w:val="00FD76AC"/>
    <w:rPr>
      <w:i/>
    </w:rPr>
  </w:style>
  <w:style w:type="paragraph" w:styleId="Caption">
    <w:name w:val="caption"/>
    <w:basedOn w:val="BodyText"/>
    <w:next w:val="Normal"/>
    <w:qFormat/>
    <w:rsid w:val="00FD76AC"/>
    <w:pPr>
      <w:framePr w:w="2268" w:hSpace="181" w:vSpace="181" w:wrap="around" w:vAnchor="text" w:hAnchor="page" w:x="1135" w:y="285" w:anchorLock="1"/>
    </w:pPr>
    <w:rPr>
      <w:i/>
    </w:rPr>
  </w:style>
  <w:style w:type="paragraph" w:customStyle="1" w:styleId="MiniTOCTitle">
    <w:name w:val="MiniTOCTitle"/>
    <w:basedOn w:val="Heading4"/>
    <w:rsid w:val="00FD76AC"/>
    <w:pPr>
      <w:spacing w:before="240"/>
      <w:outlineLvl w:val="9"/>
    </w:pPr>
    <w:rPr>
      <w:noProof/>
      <w:sz w:val="24"/>
    </w:rPr>
  </w:style>
  <w:style w:type="paragraph" w:customStyle="1" w:styleId="MiniTOCItem">
    <w:name w:val="MiniTOCItem"/>
    <w:basedOn w:val="ListBullet"/>
    <w:rsid w:val="00FD76AC"/>
    <w:pPr>
      <w:numPr>
        <w:numId w:val="0"/>
      </w:numPr>
      <w:tabs>
        <w:tab w:val="right" w:leader="dot" w:pos="6521"/>
      </w:tabs>
      <w:spacing w:before="0" w:after="0"/>
    </w:pPr>
  </w:style>
  <w:style w:type="paragraph" w:customStyle="1" w:styleId="TOFTitle">
    <w:name w:val="TOFTitle"/>
    <w:basedOn w:val="TOCTitle"/>
    <w:rsid w:val="00FD76AC"/>
  </w:style>
  <w:style w:type="paragraph" w:styleId="TableofFigures">
    <w:name w:val="table of figures"/>
    <w:basedOn w:val="Normal"/>
    <w:next w:val="Normal"/>
    <w:semiHidden/>
    <w:rsid w:val="00FD76AC"/>
    <w:pPr>
      <w:tabs>
        <w:tab w:val="right" w:leader="dot" w:pos="9072"/>
      </w:tabs>
      <w:ind w:left="970" w:hanging="403"/>
    </w:pPr>
    <w:rPr>
      <w:rFonts w:ascii="Times New Roman" w:hAnsi="Times New Roman"/>
      <w:b/>
    </w:rPr>
  </w:style>
  <w:style w:type="paragraph" w:styleId="ListNumber">
    <w:name w:val="List Number"/>
    <w:basedOn w:val="List"/>
    <w:rsid w:val="00FD76AC"/>
    <w:pPr>
      <w:numPr>
        <w:numId w:val="10"/>
      </w:numPr>
    </w:pPr>
  </w:style>
  <w:style w:type="character" w:customStyle="1" w:styleId="WingdingSymbols">
    <w:name w:val="Wingding Symbols"/>
    <w:rsid w:val="00FD76AC"/>
    <w:rPr>
      <w:rFonts w:ascii="Wingdings" w:hAnsi="Wingdings"/>
    </w:rPr>
  </w:style>
  <w:style w:type="paragraph" w:customStyle="1" w:styleId="TableHeading">
    <w:name w:val="Table Heading"/>
    <w:basedOn w:val="HeadingBase"/>
    <w:rsid w:val="00FD76AC"/>
    <w:pPr>
      <w:keepLines/>
      <w:pBdr>
        <w:bottom w:val="single" w:sz="6" w:space="1" w:color="918585"/>
      </w:pBdr>
      <w:spacing w:before="240"/>
    </w:pPr>
  </w:style>
  <w:style w:type="character" w:customStyle="1" w:styleId="HotSpot">
    <w:name w:val="HotSpot"/>
    <w:rsid w:val="00FD76AC"/>
    <w:rPr>
      <w:color w:val="0033CC"/>
      <w:u w:val="none"/>
    </w:rPr>
  </w:style>
  <w:style w:type="paragraph" w:customStyle="1" w:styleId="BodyTextRight">
    <w:name w:val="Body Text Right"/>
    <w:basedOn w:val="BodyText"/>
    <w:rsid w:val="00FD76AC"/>
    <w:pPr>
      <w:spacing w:before="0" w:after="0"/>
      <w:jc w:val="right"/>
    </w:pPr>
  </w:style>
  <w:style w:type="paragraph" w:styleId="Index3">
    <w:name w:val="index 3"/>
    <w:basedOn w:val="ListNumber2"/>
    <w:next w:val="Normal"/>
    <w:semiHidden/>
    <w:rsid w:val="00FD76AC"/>
    <w:pPr>
      <w:numPr>
        <w:numId w:val="0"/>
      </w:numPr>
      <w:tabs>
        <w:tab w:val="right" w:leader="dot" w:pos="4176"/>
      </w:tabs>
    </w:pPr>
  </w:style>
  <w:style w:type="paragraph" w:styleId="ListNumber2">
    <w:name w:val="List Number 2"/>
    <w:basedOn w:val="List2"/>
    <w:rsid w:val="00FD76AC"/>
    <w:pPr>
      <w:numPr>
        <w:numId w:val="9"/>
      </w:numPr>
      <w:tabs>
        <w:tab w:val="clear" w:pos="1060"/>
      </w:tabs>
    </w:pPr>
  </w:style>
  <w:style w:type="paragraph" w:customStyle="1" w:styleId="MarginNote">
    <w:name w:val="Margin Note"/>
    <w:basedOn w:val="BodyText"/>
    <w:rsid w:val="00FD7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6AC"/>
    <w:rPr>
      <w:sz w:val="32"/>
    </w:rPr>
  </w:style>
  <w:style w:type="paragraph" w:customStyle="1" w:styleId="HeadingProcedure">
    <w:name w:val="Heading Procedure"/>
    <w:basedOn w:val="HeadingBase"/>
    <w:next w:val="Normal"/>
    <w:rsid w:val="00FD76AC"/>
    <w:pPr>
      <w:tabs>
        <w:tab w:val="left" w:pos="0"/>
      </w:tabs>
      <w:spacing w:before="120" w:after="60"/>
    </w:pPr>
    <w:rPr>
      <w:i/>
      <w:color w:val="918585"/>
      <w:sz w:val="22"/>
    </w:rPr>
  </w:style>
  <w:style w:type="paragraph" w:customStyle="1" w:styleId="TableBodyText">
    <w:name w:val="Table Body Text"/>
    <w:basedOn w:val="BodyText"/>
    <w:rsid w:val="00FD76AC"/>
    <w:pPr>
      <w:spacing w:before="60" w:after="60"/>
    </w:pPr>
  </w:style>
  <w:style w:type="paragraph" w:styleId="ListContinue">
    <w:name w:val="List Continue"/>
    <w:basedOn w:val="List"/>
    <w:rsid w:val="00FD76AC"/>
    <w:pPr>
      <w:ind w:firstLine="0"/>
    </w:pPr>
  </w:style>
  <w:style w:type="paragraph" w:customStyle="1" w:styleId="ListNote">
    <w:name w:val="List Note"/>
    <w:basedOn w:val="List"/>
    <w:rsid w:val="00FD76AC"/>
    <w:pPr>
      <w:pBdr>
        <w:top w:val="single" w:sz="6" w:space="2" w:color="918585"/>
        <w:bottom w:val="single" w:sz="6" w:space="2" w:color="918585"/>
      </w:pBdr>
      <w:tabs>
        <w:tab w:val="left" w:pos="1021"/>
      </w:tabs>
      <w:ind w:firstLine="0"/>
    </w:pPr>
  </w:style>
  <w:style w:type="paragraph" w:customStyle="1" w:styleId="Warning">
    <w:name w:val="Warning"/>
    <w:basedOn w:val="BodyText"/>
    <w:rsid w:val="00FD76AC"/>
    <w:pPr>
      <w:shd w:val="clear" w:color="auto" w:fill="D9D9D9"/>
      <w:tabs>
        <w:tab w:val="left" w:pos="992"/>
      </w:tabs>
      <w:ind w:left="119" w:right="119"/>
    </w:pPr>
    <w:rPr>
      <w:sz w:val="20"/>
    </w:rPr>
  </w:style>
  <w:style w:type="paragraph" w:customStyle="1" w:styleId="MarginIcons">
    <w:name w:val="Margin Icons"/>
    <w:basedOn w:val="BodyText"/>
    <w:rsid w:val="00FD7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6AC"/>
    <w:rPr>
      <w:rFonts w:ascii="Courier New" w:hAnsi="Courier New"/>
    </w:rPr>
  </w:style>
  <w:style w:type="paragraph" w:customStyle="1" w:styleId="NoteBullet">
    <w:name w:val="Note Bullet"/>
    <w:basedOn w:val="Note"/>
    <w:rsid w:val="00FD76AC"/>
    <w:pPr>
      <w:tabs>
        <w:tab w:val="clear" w:pos="680"/>
      </w:tabs>
      <w:spacing w:before="60" w:after="60"/>
    </w:pPr>
  </w:style>
  <w:style w:type="paragraph" w:customStyle="1" w:styleId="SubHeading2">
    <w:name w:val="SubHeading2"/>
    <w:basedOn w:val="HeadingBase"/>
    <w:rsid w:val="00FD76AC"/>
    <w:pPr>
      <w:spacing w:before="240" w:after="60"/>
    </w:pPr>
    <w:rPr>
      <w:sz w:val="20"/>
    </w:rPr>
  </w:style>
  <w:style w:type="paragraph" w:customStyle="1" w:styleId="SubHeading1">
    <w:name w:val="SubHeading1"/>
    <w:basedOn w:val="HeadingBase"/>
    <w:rsid w:val="00FD76AC"/>
    <w:pPr>
      <w:spacing w:before="240" w:after="60"/>
    </w:pPr>
    <w:rPr>
      <w:color w:val="918585"/>
      <w:sz w:val="22"/>
    </w:rPr>
  </w:style>
  <w:style w:type="paragraph" w:customStyle="1" w:styleId="SideHeading">
    <w:name w:val="Side Heading"/>
    <w:basedOn w:val="HeadingBase"/>
    <w:rsid w:val="00FD7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6AC"/>
    <w:pPr>
      <w:tabs>
        <w:tab w:val="num" w:pos="360"/>
      </w:tabs>
    </w:pPr>
  </w:style>
  <w:style w:type="paragraph" w:styleId="PlainText">
    <w:name w:val="Plain Text"/>
    <w:basedOn w:val="Normal"/>
    <w:link w:val="PlainTextChar"/>
    <w:rsid w:val="00FD76AC"/>
    <w:rPr>
      <w:sz w:val="20"/>
    </w:rPr>
  </w:style>
  <w:style w:type="character" w:customStyle="1" w:styleId="PlainTextChar">
    <w:name w:val="Plain Text Char"/>
    <w:basedOn w:val="DefaultParagraphFont"/>
    <w:link w:val="PlainText"/>
    <w:rsid w:val="00FD76AC"/>
    <w:rPr>
      <w:rFonts w:ascii="Courier New" w:eastAsia="Times New Roman" w:hAnsi="Courier New" w:cs="Times New Roman"/>
      <w:sz w:val="20"/>
      <w:szCs w:val="20"/>
      <w:lang w:eastAsia="en-US"/>
    </w:rPr>
  </w:style>
  <w:style w:type="character" w:customStyle="1" w:styleId="MenuOption">
    <w:name w:val="Menu Option"/>
    <w:basedOn w:val="DefaultParagraphFont"/>
    <w:rsid w:val="00FD76AC"/>
    <w:rPr>
      <w:b/>
      <w:smallCaps/>
    </w:rPr>
  </w:style>
  <w:style w:type="paragraph" w:customStyle="1" w:styleId="TableListNumber">
    <w:name w:val="Table List Number"/>
    <w:basedOn w:val="ListNumber"/>
    <w:rsid w:val="00FD76AC"/>
    <w:pPr>
      <w:numPr>
        <w:numId w:val="0"/>
      </w:numPr>
    </w:pPr>
  </w:style>
  <w:style w:type="paragraph" w:styleId="TOC4">
    <w:name w:val="toc 4"/>
    <w:basedOn w:val="TOCBase"/>
    <w:next w:val="Normal"/>
    <w:semiHidden/>
    <w:rsid w:val="00FD76AC"/>
    <w:pPr>
      <w:tabs>
        <w:tab w:val="right" w:leader="dot" w:pos="9071"/>
      </w:tabs>
      <w:ind w:left="1701"/>
    </w:pPr>
  </w:style>
  <w:style w:type="paragraph" w:customStyle="1" w:styleId="ListAlpha">
    <w:name w:val="List Alpha"/>
    <w:basedOn w:val="List"/>
    <w:rsid w:val="00FD76AC"/>
    <w:pPr>
      <w:numPr>
        <w:numId w:val="8"/>
      </w:numPr>
    </w:pPr>
  </w:style>
  <w:style w:type="paragraph" w:customStyle="1" w:styleId="ListAlpha2">
    <w:name w:val="List Alpha 2"/>
    <w:basedOn w:val="List2"/>
    <w:rsid w:val="00FD76AC"/>
    <w:pPr>
      <w:numPr>
        <w:numId w:val="7"/>
      </w:numPr>
    </w:pPr>
  </w:style>
  <w:style w:type="paragraph" w:styleId="List2">
    <w:name w:val="List 2"/>
    <w:basedOn w:val="BodyText"/>
    <w:rsid w:val="00FD76AC"/>
    <w:pPr>
      <w:tabs>
        <w:tab w:val="left" w:pos="680"/>
      </w:tabs>
      <w:spacing w:before="60" w:after="60"/>
      <w:ind w:left="680" w:hanging="340"/>
    </w:pPr>
  </w:style>
  <w:style w:type="paragraph" w:styleId="List3">
    <w:name w:val="List 3"/>
    <w:basedOn w:val="BodyText"/>
    <w:rsid w:val="00FD76AC"/>
    <w:pPr>
      <w:tabs>
        <w:tab w:val="left" w:pos="1021"/>
      </w:tabs>
      <w:spacing w:before="60" w:after="60"/>
      <w:ind w:left="1020" w:hanging="340"/>
    </w:pPr>
  </w:style>
  <w:style w:type="paragraph" w:styleId="List4">
    <w:name w:val="List 4"/>
    <w:basedOn w:val="BodyText"/>
    <w:rsid w:val="00FD76AC"/>
    <w:pPr>
      <w:tabs>
        <w:tab w:val="left" w:pos="1361"/>
      </w:tabs>
      <w:spacing w:before="60" w:after="60"/>
      <w:ind w:left="1361" w:hanging="340"/>
    </w:pPr>
  </w:style>
  <w:style w:type="paragraph" w:styleId="List5">
    <w:name w:val="List 5"/>
    <w:basedOn w:val="BodyText"/>
    <w:rsid w:val="00FD76AC"/>
    <w:pPr>
      <w:tabs>
        <w:tab w:val="left" w:pos="1701"/>
      </w:tabs>
      <w:spacing w:before="60" w:after="60"/>
      <w:ind w:left="1701" w:hanging="340"/>
    </w:pPr>
  </w:style>
  <w:style w:type="paragraph" w:styleId="ListBullet3">
    <w:name w:val="List Bullet 3"/>
    <w:basedOn w:val="List3"/>
    <w:rsid w:val="00FD76AC"/>
    <w:pPr>
      <w:numPr>
        <w:numId w:val="14"/>
      </w:numPr>
      <w:tabs>
        <w:tab w:val="clear" w:pos="1021"/>
      </w:tabs>
      <w:ind w:left="1037" w:hanging="357"/>
    </w:pPr>
  </w:style>
  <w:style w:type="paragraph" w:styleId="ListBullet4">
    <w:name w:val="List Bullet 4"/>
    <w:basedOn w:val="List4"/>
    <w:rsid w:val="00FD76AC"/>
    <w:pPr>
      <w:numPr>
        <w:numId w:val="2"/>
      </w:numPr>
      <w:tabs>
        <w:tab w:val="clear" w:pos="1361"/>
      </w:tabs>
    </w:pPr>
  </w:style>
  <w:style w:type="paragraph" w:styleId="ListBullet5">
    <w:name w:val="List Bullet 5"/>
    <w:basedOn w:val="List5"/>
    <w:rsid w:val="00FD76AC"/>
    <w:pPr>
      <w:numPr>
        <w:numId w:val="3"/>
      </w:numPr>
    </w:pPr>
  </w:style>
  <w:style w:type="paragraph" w:styleId="ListContinue2">
    <w:name w:val="List Continue 2"/>
    <w:basedOn w:val="List2"/>
    <w:rsid w:val="00FD76AC"/>
    <w:pPr>
      <w:ind w:firstLine="0"/>
    </w:pPr>
  </w:style>
  <w:style w:type="paragraph" w:styleId="ListContinue3">
    <w:name w:val="List Continue 3"/>
    <w:basedOn w:val="List3"/>
    <w:rsid w:val="00FD76AC"/>
    <w:pPr>
      <w:ind w:left="1021" w:firstLine="0"/>
    </w:pPr>
  </w:style>
  <w:style w:type="paragraph" w:styleId="ListContinue4">
    <w:name w:val="List Continue 4"/>
    <w:basedOn w:val="List4"/>
    <w:rsid w:val="00FD76AC"/>
    <w:pPr>
      <w:ind w:firstLine="0"/>
    </w:pPr>
  </w:style>
  <w:style w:type="paragraph" w:styleId="ListContinue5">
    <w:name w:val="List Continue 5"/>
    <w:basedOn w:val="List5"/>
    <w:rsid w:val="00FD76AC"/>
    <w:pPr>
      <w:ind w:firstLine="0"/>
    </w:pPr>
  </w:style>
  <w:style w:type="paragraph" w:styleId="ListNumber3">
    <w:name w:val="List Number 3"/>
    <w:basedOn w:val="List3"/>
    <w:rsid w:val="00FD76AC"/>
    <w:pPr>
      <w:numPr>
        <w:numId w:val="4"/>
      </w:numPr>
    </w:pPr>
  </w:style>
  <w:style w:type="paragraph" w:styleId="ListNumber4">
    <w:name w:val="List Number 4"/>
    <w:basedOn w:val="List4"/>
    <w:rsid w:val="00FD76AC"/>
    <w:pPr>
      <w:numPr>
        <w:numId w:val="5"/>
      </w:numPr>
    </w:pPr>
  </w:style>
  <w:style w:type="paragraph" w:styleId="ListNumber5">
    <w:name w:val="List Number 5"/>
    <w:basedOn w:val="List5"/>
    <w:rsid w:val="00FD76AC"/>
    <w:pPr>
      <w:numPr>
        <w:numId w:val="6"/>
      </w:numPr>
    </w:pPr>
  </w:style>
  <w:style w:type="paragraph" w:styleId="BlockText">
    <w:name w:val="Block Text"/>
    <w:basedOn w:val="Normal"/>
    <w:rsid w:val="00FD76AC"/>
    <w:pPr>
      <w:spacing w:after="120"/>
      <w:ind w:left="1440" w:right="1440"/>
    </w:pPr>
  </w:style>
  <w:style w:type="character" w:customStyle="1" w:styleId="Subscript">
    <w:name w:val="Subscript"/>
    <w:basedOn w:val="DefaultParagraphFont"/>
    <w:rsid w:val="00FD76AC"/>
    <w:rPr>
      <w:sz w:val="16"/>
      <w:vertAlign w:val="subscript"/>
    </w:rPr>
  </w:style>
  <w:style w:type="character" w:customStyle="1" w:styleId="Superscript">
    <w:name w:val="Superscript"/>
    <w:basedOn w:val="DefaultParagraphFont"/>
    <w:rsid w:val="00FD76AC"/>
    <w:rPr>
      <w:sz w:val="16"/>
      <w:vertAlign w:val="superscript"/>
    </w:rPr>
  </w:style>
  <w:style w:type="character" w:customStyle="1" w:styleId="Symbols">
    <w:name w:val="Symbols"/>
    <w:basedOn w:val="DefaultParagraphFont"/>
    <w:rsid w:val="00FD76AC"/>
    <w:rPr>
      <w:rFonts w:ascii="Symbol" w:hAnsi="Symbol"/>
    </w:rPr>
  </w:style>
  <w:style w:type="character" w:customStyle="1" w:styleId="MenuOptions">
    <w:name w:val="Menu Options"/>
    <w:basedOn w:val="DefaultParagraphFont"/>
    <w:rsid w:val="00FD76AC"/>
    <w:rPr>
      <w:rFonts w:ascii="Arial Narrow" w:hAnsi="Arial Narrow"/>
      <w:smallCaps/>
    </w:rPr>
  </w:style>
  <w:style w:type="character" w:customStyle="1" w:styleId="Buttons">
    <w:name w:val="Buttons"/>
    <w:basedOn w:val="DefaultParagraphFont"/>
    <w:rsid w:val="00FD76AC"/>
    <w:rPr>
      <w:b/>
    </w:rPr>
  </w:style>
  <w:style w:type="character" w:customStyle="1" w:styleId="Underlined">
    <w:name w:val="Underlined"/>
    <w:basedOn w:val="DefaultParagraphFont"/>
    <w:rsid w:val="00FD76AC"/>
    <w:rPr>
      <w:u w:val="single"/>
    </w:rPr>
  </w:style>
  <w:style w:type="paragraph" w:customStyle="1" w:styleId="TableBodyTextRight">
    <w:name w:val="Table Body Text Right"/>
    <w:basedOn w:val="TableBodyText"/>
    <w:rsid w:val="00FD76AC"/>
    <w:pPr>
      <w:widowControl w:val="0"/>
      <w:autoSpaceDE w:val="0"/>
      <w:autoSpaceDN w:val="0"/>
      <w:adjustRightInd w:val="0"/>
      <w:jc w:val="right"/>
    </w:pPr>
    <w:rPr>
      <w:rFonts w:cs="Arial"/>
      <w:szCs w:val="18"/>
    </w:rPr>
  </w:style>
  <w:style w:type="paragraph" w:customStyle="1" w:styleId="CopyrightText">
    <w:name w:val="Copyright Text"/>
    <w:basedOn w:val="BodyText"/>
    <w:rsid w:val="00FD76AC"/>
    <w:rPr>
      <w:sz w:val="18"/>
    </w:rPr>
  </w:style>
  <w:style w:type="paragraph" w:customStyle="1" w:styleId="BodySmallRight">
    <w:name w:val="Body Small Right"/>
    <w:basedOn w:val="BodyTextRight"/>
    <w:rsid w:val="00FD76AC"/>
    <w:rPr>
      <w:sz w:val="18"/>
      <w:szCs w:val="18"/>
    </w:rPr>
  </w:style>
  <w:style w:type="paragraph" w:customStyle="1" w:styleId="MarginEdition">
    <w:name w:val="Margin Edition"/>
    <w:basedOn w:val="MarginNote"/>
    <w:rsid w:val="00FD76AC"/>
    <w:pPr>
      <w:spacing w:before="0" w:after="0"/>
    </w:pPr>
    <w:rPr>
      <w:rFonts w:ascii="Times New Roman" w:hAnsi="Times New Roman"/>
      <w:color w:val="999999"/>
    </w:rPr>
  </w:style>
  <w:style w:type="paragraph" w:customStyle="1" w:styleId="Spacer">
    <w:name w:val="Spacer"/>
    <w:basedOn w:val="Normal"/>
    <w:rsid w:val="00FD76AC"/>
    <w:rPr>
      <w:sz w:val="2"/>
      <w:szCs w:val="2"/>
    </w:rPr>
  </w:style>
  <w:style w:type="character" w:customStyle="1" w:styleId="Small">
    <w:name w:val="Small"/>
    <w:basedOn w:val="DefaultParagraphFont"/>
    <w:rsid w:val="00FD76AC"/>
    <w:rPr>
      <w:sz w:val="16"/>
    </w:rPr>
  </w:style>
  <w:style w:type="paragraph" w:customStyle="1" w:styleId="WideTable">
    <w:name w:val="Wide Table"/>
    <w:basedOn w:val="Normal"/>
    <w:rsid w:val="00FD76AC"/>
    <w:pPr>
      <w:ind w:left="-1418"/>
    </w:pPr>
    <w:rPr>
      <w:sz w:val="2"/>
      <w:szCs w:val="2"/>
    </w:rPr>
  </w:style>
  <w:style w:type="character" w:styleId="PageNumber">
    <w:name w:val="page number"/>
    <w:basedOn w:val="DefaultParagraphFont"/>
    <w:rsid w:val="00FD76AC"/>
  </w:style>
  <w:style w:type="paragraph" w:styleId="Quote">
    <w:name w:val="Quote"/>
    <w:basedOn w:val="Heading1"/>
    <w:link w:val="QuoteChar"/>
    <w:qFormat/>
    <w:rsid w:val="00FD76AC"/>
    <w:rPr>
      <w:b w:val="0"/>
      <w:sz w:val="72"/>
      <w:szCs w:val="72"/>
      <w:lang w:val="en-NZ"/>
    </w:rPr>
  </w:style>
  <w:style w:type="character" w:customStyle="1" w:styleId="QuoteChar">
    <w:name w:val="Quote Char"/>
    <w:basedOn w:val="DefaultParagraphFont"/>
    <w:link w:val="Quote"/>
    <w:rsid w:val="00FD7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6AC"/>
    <w:pPr>
      <w:pageBreakBefore/>
    </w:pPr>
  </w:style>
  <w:style w:type="paragraph" w:customStyle="1" w:styleId="Border">
    <w:name w:val="Border"/>
    <w:basedOn w:val="Normal"/>
    <w:qFormat/>
    <w:rsid w:val="00FD7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6AC"/>
    <w:rPr>
      <w:b/>
      <w:bCs/>
      <w:i/>
      <w:iCs/>
      <w:color w:val="auto"/>
    </w:rPr>
  </w:style>
  <w:style w:type="paragraph" w:styleId="IntenseQuote">
    <w:name w:val="Intense Quote"/>
    <w:basedOn w:val="Normal"/>
    <w:next w:val="Normal"/>
    <w:link w:val="IntenseQuoteChar"/>
    <w:uiPriority w:val="30"/>
    <w:qFormat/>
    <w:rsid w:val="00FD7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6AC"/>
    <w:rPr>
      <w:smallCaps/>
      <w:color w:val="auto"/>
      <w:u w:val="single"/>
    </w:rPr>
  </w:style>
  <w:style w:type="character" w:styleId="IntenseReference">
    <w:name w:val="Intense Reference"/>
    <w:basedOn w:val="DefaultParagraphFont"/>
    <w:uiPriority w:val="32"/>
    <w:qFormat/>
    <w:rsid w:val="00FD76AC"/>
    <w:rPr>
      <w:b/>
      <w:bCs/>
      <w:smallCaps/>
      <w:color w:val="auto"/>
      <w:spacing w:val="5"/>
      <w:u w:val="single"/>
    </w:rPr>
  </w:style>
  <w:style w:type="paragraph" w:customStyle="1" w:styleId="2ColumnHeading">
    <w:name w:val="2Column Heading"/>
    <w:basedOn w:val="BodyText"/>
    <w:qFormat/>
    <w:rsid w:val="00FD76AC"/>
    <w:pPr>
      <w:spacing w:after="60"/>
      <w:ind w:left="-2268"/>
    </w:pPr>
    <w:rPr>
      <w:b/>
    </w:rPr>
  </w:style>
  <w:style w:type="paragraph" w:customStyle="1" w:styleId="Heading1TOC">
    <w:name w:val="Heading1 TOC"/>
    <w:basedOn w:val="Normal"/>
    <w:qFormat/>
    <w:rsid w:val="00FD76AC"/>
    <w:pPr>
      <w:spacing w:before="240" w:after="120"/>
    </w:pPr>
    <w:rPr>
      <w:rFonts w:ascii="Times New Roman" w:hAnsi="Times New Roman"/>
      <w:b/>
      <w:sz w:val="32"/>
    </w:rPr>
  </w:style>
  <w:style w:type="paragraph" w:customStyle="1" w:styleId="Heading2TOC">
    <w:name w:val="Heading2 TOC"/>
    <w:basedOn w:val="Normal"/>
    <w:qFormat/>
    <w:rsid w:val="00FD76AC"/>
    <w:pPr>
      <w:spacing w:before="240" w:after="60"/>
    </w:pPr>
    <w:rPr>
      <w:rFonts w:ascii="Times New Roman" w:hAnsi="Times New Roman"/>
      <w:b/>
      <w:sz w:val="28"/>
    </w:rPr>
  </w:style>
  <w:style w:type="character" w:customStyle="1" w:styleId="Underline">
    <w:name w:val="Underline"/>
    <w:basedOn w:val="DefaultParagraphFont"/>
    <w:qFormat/>
    <w:rsid w:val="00FD76AC"/>
    <w:rPr>
      <w:u w:val="single"/>
    </w:rPr>
  </w:style>
  <w:style w:type="character" w:customStyle="1" w:styleId="BoldandItalics">
    <w:name w:val="Bold and Italics"/>
    <w:qFormat/>
    <w:rsid w:val="00FD76AC"/>
    <w:rPr>
      <w:b/>
      <w:i/>
      <w:u w:val="none"/>
    </w:rPr>
  </w:style>
  <w:style w:type="paragraph" w:styleId="BalloonText">
    <w:name w:val="Balloon Text"/>
    <w:basedOn w:val="Normal"/>
    <w:link w:val="BalloonTextChar"/>
    <w:rsid w:val="00FD76AC"/>
    <w:rPr>
      <w:rFonts w:ascii="Tahoma" w:hAnsi="Tahoma" w:cs="Tahoma"/>
      <w:sz w:val="16"/>
      <w:szCs w:val="16"/>
    </w:rPr>
  </w:style>
  <w:style w:type="character" w:customStyle="1" w:styleId="BalloonTextChar">
    <w:name w:val="Balloon Text Char"/>
    <w:basedOn w:val="DefaultParagraphFont"/>
    <w:link w:val="BalloonText"/>
    <w:rsid w:val="00FD7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6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6AC"/>
    <w:rPr>
      <w:b/>
      <w:color w:val="660033"/>
      <w:spacing w:val="0"/>
    </w:rPr>
  </w:style>
  <w:style w:type="paragraph" w:customStyle="1" w:styleId="Nameditemlist">
    <w:name w:val="Named item list"/>
    <w:basedOn w:val="BodyText"/>
    <w:qFormat/>
    <w:rsid w:val="00FD76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5635</Characters>
  <Application>Microsoft Office Word</Application>
  <DocSecurity>0</DocSecurity>
  <Lines>258</Lines>
  <Paragraphs>133</Paragraphs>
  <ScaleCrop>false</ScaleCrop>
  <Company>Author-it Software Corporation Ltd.</Company>
  <LinksUpToDate>false</LinksUpToDate>
  <CharactersWithSpaces>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MSFFL2027 Install expansion joints</dc:title>
  <dc:subject>Approved</dc:subject>
  <dc:creator>Manufacturing Skills Australia</dc:creator>
  <cp:keywords>Release: 1</cp:keywords>
  <dc:description>Review Date: 12 April 2008</dc:description>
  <cp:lastModifiedBy>TPCMS</cp:lastModifiedBy>
  <cp:revision>3</cp:revision>
  <dcterms:created xsi:type="dcterms:W3CDTF">2016-12-09T03:45:00Z</dcterms:created>
  <dcterms:modified xsi:type="dcterms:W3CDTF">2016-12-09T03:45:00Z</dcterms:modified>
</cp:coreProperties>
</file>