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C63" w:rsidP="00263C63">
      <w:pPr>
        <w:pStyle w:val="Title"/>
      </w:pPr>
      <w:r>
        <w:fldChar w:fldCharType="begin"/>
      </w:r>
      <w:r>
        <w:instrText xml:space="preserve"> TITLE   \* MERGEFORMAT </w:instrText>
      </w:r>
      <w:r>
        <w:fldChar w:fldCharType="separate"/>
      </w:r>
      <w:r>
        <w:t>MSFFL2025 Install impact and sound absorption underlay</w:t>
      </w:r>
      <w:r>
        <w:fldChar w:fldCharType="end"/>
      </w:r>
    </w:p>
    <w:p w:rsidR="00263C63" w:rsidP="00263C63">
      <w:pPr>
        <w:pStyle w:val="Version"/>
        <w:sectPr w:rsidSect="00C55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50AD" w:rsidP="00C550AD">
      <w:pPr>
        <w:pStyle w:val="SuperHeading"/>
      </w:pPr>
      <w:r w:rsidRPr="00C550AD">
        <w:t>MSFFL2025 Install impact and sound absorption underlay</w:t>
      </w:r>
    </w:p>
    <w:p w:rsidR="00000000" w:rsidRPr="00C550AD" w:rsidP="00C550AD">
      <w:pPr>
        <w:pStyle w:val="Heading1"/>
      </w:pPr>
      <w:bookmarkStart w:id="1" w:name="O_641078"/>
      <w:bookmarkEnd w:id="1"/>
      <w:r w:rsidRPr="00C550AD">
        <w:t>Modification History</w:t>
      </w:r>
    </w:p>
    <w:p w:rsidR="00000000" w:rsidRPr="00C550AD" w:rsidP="00C550AD">
      <w:pPr>
        <w:pStyle w:val="BodyText"/>
      </w:pPr>
      <w:r w:rsidRPr="00C550AD">
        <w:t>Release 2 - Unit code corrected in mapping - Supersedes and is equivalent to LMFFL2502A</w:t>
      </w:r>
    </w:p>
    <w:p w:rsidR="00000000" w:rsidRPr="00C550AD" w:rsidP="00C550AD">
      <w:pPr>
        <w:pStyle w:val="BodyText"/>
      </w:pPr>
      <w:r w:rsidRPr="00C550AD">
        <w:t>Release 1 - New unit of competency</w:t>
      </w:r>
    </w:p>
    <w:p w:rsidR="00000000" w:rsidRPr="00C550AD" w:rsidP="00C550AD">
      <w:pPr>
        <w:pStyle w:val="AllowPageBreak"/>
      </w:pPr>
    </w:p>
    <w:p w:rsidR="00000000" w:rsidRPr="00C550AD" w:rsidP="00C550AD">
      <w:pPr>
        <w:pStyle w:val="Heading1"/>
      </w:pPr>
      <w:bookmarkStart w:id="2" w:name="O_641077"/>
      <w:bookmarkEnd w:id="2"/>
      <w:r w:rsidRPr="00C550AD">
        <w:t>Application</w:t>
      </w:r>
    </w:p>
    <w:p w:rsidR="00000000" w:rsidRPr="00C550AD" w:rsidP="00C550AD">
      <w:pPr>
        <w:pStyle w:val="BodyText"/>
      </w:pPr>
      <w:r w:rsidRPr="00C550AD">
        <w:t>This unit of competency covers installing impact and sound absorption under</w:t>
      </w:r>
      <w:r w:rsidRPr="00C550AD">
        <w:t>lay over a new or existing sub-floor to provide impact and sound reduction in preparation for the installation of a laminate or engineered timber floor.</w:t>
      </w:r>
    </w:p>
    <w:p w:rsidR="00000000" w:rsidRPr="00C550AD" w:rsidP="00C550AD">
      <w:pPr>
        <w:pStyle w:val="BodyText"/>
      </w:pPr>
    </w:p>
    <w:p w:rsidR="00000000" w:rsidRPr="00C550AD" w:rsidP="00C550AD">
      <w:pPr>
        <w:pStyle w:val="BodyText"/>
      </w:pPr>
      <w:r w:rsidRPr="00C550AD">
        <w:t>Licensing, legislative or certification requirements may apply to this unit and relevant state/territo</w:t>
      </w:r>
      <w:r w:rsidRPr="00C550AD">
        <w:t>ry and local government agencies should be consulted to determine any necessary certification or licensing for undertaking flooring work. Access to construction sites requires certification of general induction training specified by the National Code of Pr</w:t>
      </w:r>
      <w:r w:rsidRPr="00C550AD">
        <w:t>actice for Induction for Construction Work (ASCC 2007).</w:t>
      </w:r>
    </w:p>
    <w:p w:rsidR="00000000" w:rsidRPr="00C550AD" w:rsidP="00C550AD">
      <w:pPr>
        <w:pStyle w:val="AllowPageBreak"/>
      </w:pPr>
    </w:p>
    <w:p w:rsidR="00000000" w:rsidRPr="00C550AD" w:rsidP="00C550AD">
      <w:pPr>
        <w:pStyle w:val="Heading1"/>
      </w:pPr>
      <w:bookmarkStart w:id="3" w:name="O_641076"/>
      <w:bookmarkEnd w:id="3"/>
      <w:r w:rsidRPr="00C550AD">
        <w:t>Pre-requisite Unit</w:t>
      </w:r>
    </w:p>
    <w:p w:rsidR="00000000" w:rsidRPr="00C550AD" w:rsidP="00C550AD">
      <w:pPr>
        <w:pStyle w:val="Heading1"/>
      </w:pPr>
      <w:bookmarkStart w:id="4" w:name="O_641075"/>
      <w:bookmarkEnd w:id="4"/>
      <w:r w:rsidRPr="00C550AD">
        <w:t>Competency Field</w:t>
      </w:r>
    </w:p>
    <w:p w:rsidR="00000000" w:rsidRPr="00C550AD" w:rsidP="00C550AD">
      <w:pPr>
        <w:pStyle w:val="Heading1"/>
      </w:pPr>
      <w:bookmarkStart w:id="5" w:name="O_641074"/>
      <w:bookmarkEnd w:id="5"/>
      <w:r w:rsidRPr="00C550AD">
        <w:t>Unit Sector</w:t>
      </w:r>
    </w:p>
    <w:p w:rsidR="00000000" w:rsidRPr="00C550AD" w:rsidP="00C550AD">
      <w:pPr>
        <w:pStyle w:val="BodyText"/>
      </w:pPr>
      <w:r w:rsidRPr="00C550AD">
        <w:t>Flooring technology</w:t>
      </w:r>
    </w:p>
    <w:p w:rsidR="00000000" w:rsidRPr="00C550AD" w:rsidP="00C550AD">
      <w:pPr>
        <w:pStyle w:val="AllowPageBreak"/>
      </w:pPr>
    </w:p>
    <w:p w:rsidR="00000000" w:rsidRPr="00C550AD" w:rsidP="00C550AD">
      <w:pPr>
        <w:pStyle w:val="Heading1"/>
      </w:pPr>
      <w:bookmarkStart w:id="6" w:name="O_641073"/>
      <w:bookmarkEnd w:id="6"/>
      <w:r w:rsidRPr="00C550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50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 xml:space="preserve">Elements describe the essential </w:t>
            </w:r>
            <w:r w:rsidRPr="00C550AD">
              <w:t>outcomes.</w:t>
            </w:r>
          </w:p>
        </w:tc>
        <w:tc>
          <w:tcPr>
            <w:tcW w:w="6380" w:type="dxa"/>
            <w:gridSpan w:val="2"/>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Performance criteria describe the performance needed to demonstrate achievement of the element.</w:t>
            </w:r>
          </w:p>
        </w:tc>
      </w:tr>
      <w:tr w:rsidTr="00C550A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w:t>
            </w:r>
          </w:p>
        </w:tc>
        <w:tc>
          <w:tcPr>
            <w:tcW w:w="1962"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Prepare for work</w:t>
            </w: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1.1</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Applicable work health and safety (WHS), legislative and organisational requirements relevant to installing impact</w:t>
            </w:r>
            <w:r w:rsidRPr="00C550AD">
              <w:t xml:space="preserve"> and sound absorbing underlay are verified and complied with</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1.2</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Instructions and/or plans are read and interpreted to identify process required to complete work tasks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1.3</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Sub-floor condition is assessed for suitability for installation of impact and sound absorption underlay for timber flooring installation</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1.4</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Suitable adhesives, trims and accessories are selected if required</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1.5</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 xml:space="preserve">Impact and sound absorption underlay </w:t>
            </w:r>
            <w:r w:rsidRPr="00C550AD">
              <w:t>is checked against work orders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1.6</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Tools, equipment and materials are selected and checked prior to use to ensure that they are appropriate for the work, serviceable and in a safe condition</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1.7</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Sequence of work is planned, including the starting point, to ensure cutting, laying and fitting is in logical order</w:t>
            </w:r>
          </w:p>
        </w:tc>
      </w:tr>
      <w:tr w:rsidTr="00C550A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2</w:t>
            </w:r>
          </w:p>
        </w:tc>
        <w:tc>
          <w:tcPr>
            <w:tcW w:w="1962"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Set out materials</w:t>
            </w: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2.1</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absorption underlay to be installed is checked against the order</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2.2</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w:t>
            </w:r>
            <w:r w:rsidRPr="00C550AD">
              <w:t>on underlay are acclimatised according to manufacturer recommendations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2.3</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absorption underlay for fixing are organised and used in accordance with relevant safety management requirements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2.4</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Working lines and starting point are established</w:t>
            </w:r>
          </w:p>
        </w:tc>
      </w:tr>
      <w:tr w:rsidTr="00C550A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3</w:t>
            </w:r>
          </w:p>
        </w:tc>
        <w:tc>
          <w:tcPr>
            <w:tcW w:w="1962"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Cut impact and sound absorption underlay</w:t>
            </w: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3.1</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Instructions and sequence for laying and fixing are followed</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3.2</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absorption underlay is laid out to meet directional sequence, specification requirements and to minimise waste and joins as appropriate</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3.3</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absorption underlay is cut to required shape with minimum waste of materials</w:t>
            </w:r>
          </w:p>
        </w:tc>
      </w:tr>
      <w:tr w:rsidTr="00C550A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w:t>
            </w:r>
          </w:p>
        </w:tc>
        <w:tc>
          <w:tcPr>
            <w:tcW w:w="1962"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Lay impact and sound absorption underlay</w:t>
            </w: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4.1</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Materials for fixing are organised and used in accordance with relevant safety management requirements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4.2</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Adhesives and edge strips/accessories are prepared for use as required</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4.3</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Adhesive is applied to sub-floor, if required</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4.4</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Impact and sound absorption underlay is fixed using methods and equipment which follow manufacturer instructions</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4.5</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Completed installation is checked for flaws in installation and materials and fault</w:t>
            </w:r>
            <w:r w:rsidRPr="00C550AD">
              <w:t>s rectified following workplace procedures</w:t>
            </w:r>
          </w:p>
        </w:tc>
      </w:tr>
      <w:tr w:rsidTr="00C550A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5</w:t>
            </w:r>
          </w:p>
        </w:tc>
        <w:tc>
          <w:tcPr>
            <w:tcW w:w="1962" w:type="dxa"/>
            <w:vMerge w:val="restart"/>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Complete housekeeping</w:t>
            </w: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5.1</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Unused materials are stored or recycled as required</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5.2</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Tools and equipment are cleaned and stored appropriately</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5.3</w:t>
            </w:r>
          </w:p>
        </w:tc>
        <w:tc>
          <w:tcPr>
            <w:tcW w:w="561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Work area is cleaned and rubbish disposed of appropriately</w:t>
            </w:r>
          </w:p>
        </w:tc>
      </w:tr>
      <w:tr w:rsidTr="00C550A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5.4</w:t>
            </w:r>
          </w:p>
        </w:tc>
        <w:tc>
          <w:tcPr>
            <w:tcW w:w="5610" w:type="dxa"/>
            <w:tcBorders>
              <w:top w:val="nil"/>
              <w:left w:val="nil"/>
              <w:bottom w:val="nil"/>
              <w:right w:val="nil"/>
            </w:tcBorders>
            <w:tcMar>
              <w:top w:w="0" w:type="dxa"/>
              <w:left w:w="62" w:type="dxa"/>
              <w:bottom w:w="0" w:type="dxa"/>
              <w:right w:w="62" w:type="dxa"/>
            </w:tcMar>
          </w:tcPr>
          <w:p w:rsidR="00000000" w:rsidRPr="00C550AD" w:rsidP="00C550AD">
            <w:pPr>
              <w:pStyle w:val="BodyText"/>
            </w:pPr>
            <w:r w:rsidRPr="00C550AD">
              <w:t>Workplace documentation is completed</w:t>
            </w:r>
          </w:p>
        </w:tc>
      </w:tr>
    </w:tbl>
    <w:p w:rsidR="00000000" w:rsidRPr="00C550AD" w:rsidP="00C550AD">
      <w:pPr>
        <w:pStyle w:val="BodyText"/>
      </w:pPr>
    </w:p>
    <w:p w:rsidR="00000000" w:rsidRPr="00C550AD" w:rsidP="00C550AD">
      <w:pPr>
        <w:pStyle w:val="AllowPageBreak"/>
      </w:pPr>
    </w:p>
    <w:p w:rsidR="00000000" w:rsidRPr="00C550AD" w:rsidP="00C550AD">
      <w:pPr>
        <w:pStyle w:val="Heading1"/>
      </w:pPr>
      <w:bookmarkStart w:id="7" w:name="O_641072"/>
      <w:bookmarkEnd w:id="7"/>
      <w:r w:rsidRPr="00C550AD">
        <w:t>Foundation Skills</w:t>
      </w:r>
    </w:p>
    <w:p w:rsidR="00263C63" w:rsidP="00C550AD">
      <w:pPr>
        <w:pStyle w:val="BodyText"/>
      </w:pPr>
      <w:r w:rsidRPr="00C550AD">
        <w:t xml:space="preserve">Foundation skills essential to performance are explicit in the performance criteria of this unit of competency. Detail on appropriate performance </w:t>
      </w:r>
      <w:r w:rsidRPr="00C550AD">
        <w:t xml:space="preserve">levels for each furnishing unit of competency in reading, writing, oral communication and numeracy utilising the Australian Core Skills Framework (ACSF) are provided in the Furnishing Training Package Implementation Guide. </w:t>
      </w:r>
    </w:p>
    <w:p w:rsidR="00263C63" w:rsidP="00C550AD">
      <w:pPr>
        <w:pStyle w:val="BodyText"/>
      </w:pPr>
    </w:p>
    <w:p w:rsidR="00000000" w:rsidRPr="00C550AD" w:rsidP="00C550AD">
      <w:pPr>
        <w:pStyle w:val="Heading1"/>
      </w:pPr>
      <w:bookmarkStart w:id="8" w:name="O_641071"/>
      <w:bookmarkEnd w:id="8"/>
      <w:r w:rsidRPr="00C550AD">
        <w:t>Range of Condi</w:t>
      </w:r>
      <w:r w:rsidRPr="00C550AD">
        <w:t>tions</w:t>
      </w:r>
    </w:p>
    <w:tbl>
      <w:tblPr>
        <w:tblW w:w="0" w:type="auto"/>
        <w:tblLayout w:type="fixed"/>
        <w:tblCellMar>
          <w:left w:w="62" w:type="dxa"/>
          <w:right w:w="62" w:type="dxa"/>
        </w:tblCellMar>
        <w:tblLook w:val="0000"/>
      </w:tblPr>
      <w:tblGrid>
        <w:gridCol w:w="2760"/>
        <w:gridCol w:w="6312"/>
      </w:tblGrid>
      <w:tr w:rsidTr="00C550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C550AD">
              <w:t>contexts) are included. Range is restricted to essential operating conditions and any other variables essential to the work environment.</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 xml:space="preserve">WHS requirements, including legislation, building codes, material safety management </w:t>
            </w:r>
            <w:r w:rsidRPr="00C550AD">
              <w:t xml:space="preserve">systems, hazardous and dangerous goods codes, and local safe operating procedures or equivalent </w:t>
            </w:r>
          </w:p>
          <w:p w:rsidR="00000000" w:rsidRPr="00C550AD" w:rsidP="00C550AD">
            <w:pPr>
              <w:pStyle w:val="ListBullet"/>
            </w:pPr>
            <w:r w:rsidRPr="00C550AD">
              <w:t>work is carried out in accordance with legislative obligations, environmental legislation, relevant health regulations, manual handling procedures and organisa</w:t>
            </w:r>
            <w:r w:rsidRPr="00C550AD">
              <w:t xml:space="preserve">tion insurance requirements </w:t>
            </w:r>
          </w:p>
          <w:p w:rsidR="00000000" w:rsidP="00C550AD">
            <w:pPr>
              <w:pStyle w:val="ListBullet"/>
              <w:rPr>
                <w:lang w:val="en-NZ"/>
              </w:rPr>
            </w:pPr>
            <w:r w:rsidRPr="00C550AD">
              <w:t xml:space="preserve">work requires individual to demonstrate some discretion, judgement and problem solving </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Impact and sound absorption underlays include:</w:t>
            </w: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single fibre</w:t>
            </w:r>
          </w:p>
          <w:p w:rsidR="00000000" w:rsidRPr="00C550AD" w:rsidP="00C550AD">
            <w:pPr>
              <w:pStyle w:val="ListBullet"/>
            </w:pPr>
            <w:r w:rsidRPr="00C550AD">
              <w:t>composite fibre</w:t>
            </w:r>
          </w:p>
          <w:p w:rsidR="00000000" w:rsidRPr="00C550AD" w:rsidP="00C550AD">
            <w:pPr>
              <w:pStyle w:val="ListBullet"/>
            </w:pPr>
            <w:r w:rsidRPr="00C550AD">
              <w:t xml:space="preserve">bonded foam </w:t>
            </w:r>
          </w:p>
          <w:p w:rsidR="00000000" w:rsidP="00C550AD">
            <w:pPr>
              <w:pStyle w:val="ListBullet"/>
              <w:rPr>
                <w:lang w:val="en-NZ"/>
              </w:rPr>
            </w:pPr>
            <w:r w:rsidRPr="00C550AD">
              <w:t xml:space="preserve">recycled rubber </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solvent an</w:t>
            </w:r>
            <w:r w:rsidRPr="00C550AD">
              <w:t>d water-based contact</w:t>
            </w:r>
          </w:p>
          <w:p w:rsidR="00000000" w:rsidP="00C550AD">
            <w:pPr>
              <w:pStyle w:val="ListBullet"/>
              <w:rPr>
                <w:lang w:val="en-NZ"/>
              </w:rPr>
            </w:pPr>
            <w:r w:rsidRPr="00C550AD">
              <w:t>acrylic or polyurethane elastomeric</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utility knife</w:t>
            </w:r>
          </w:p>
          <w:p w:rsidR="00000000" w:rsidRPr="00C550AD" w:rsidP="00C550AD">
            <w:pPr>
              <w:pStyle w:val="ListBullet"/>
            </w:pPr>
            <w:r w:rsidRPr="00C550AD">
              <w:t>straight edge</w:t>
            </w:r>
          </w:p>
          <w:p w:rsidR="00000000" w:rsidRPr="00C550AD" w:rsidP="00C550AD">
            <w:pPr>
              <w:pStyle w:val="ListBullet"/>
            </w:pPr>
            <w:r w:rsidRPr="00C550AD">
              <w:t>chalk-line,</w:t>
            </w:r>
          </w:p>
          <w:p w:rsidR="00000000" w:rsidRPr="00C550AD" w:rsidP="00C550AD">
            <w:pPr>
              <w:pStyle w:val="ListBullet"/>
            </w:pPr>
            <w:r w:rsidRPr="00C550AD">
              <w:t>hammer</w:t>
            </w:r>
          </w:p>
          <w:p w:rsidR="00000000" w:rsidRPr="00C550AD" w:rsidP="00C550AD">
            <w:pPr>
              <w:pStyle w:val="ListBullet"/>
            </w:pPr>
            <w:r w:rsidRPr="00C550AD">
              <w:t>heavy-duty electrical drill</w:t>
            </w:r>
          </w:p>
          <w:p w:rsidR="00000000" w:rsidRPr="00C550AD" w:rsidP="00C550AD">
            <w:pPr>
              <w:pStyle w:val="ListBullet"/>
            </w:pPr>
            <w:r w:rsidRPr="00C550AD">
              <w:t xml:space="preserve">hacksaw </w:t>
            </w:r>
          </w:p>
          <w:p w:rsidR="00000000" w:rsidP="00C550AD">
            <w:pPr>
              <w:pStyle w:val="ListBullet"/>
              <w:rPr>
                <w:lang w:val="en-NZ"/>
              </w:rPr>
            </w:pPr>
            <w:r w:rsidRPr="00C550AD">
              <w:t>notched trowel</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 xml:space="preserve">impact and sound absorption underlay </w:t>
            </w:r>
          </w:p>
          <w:p w:rsidR="00000000" w:rsidRPr="00C550AD" w:rsidP="00C550AD">
            <w:pPr>
              <w:pStyle w:val="ListBullet"/>
            </w:pPr>
            <w:r w:rsidRPr="00C550AD">
              <w:t>PVC tapes</w:t>
            </w:r>
          </w:p>
          <w:p w:rsidR="00000000" w:rsidRPr="00C550AD" w:rsidP="00C550AD">
            <w:pPr>
              <w:pStyle w:val="ListBullet"/>
            </w:pPr>
            <w:r w:rsidRPr="00C550AD">
              <w:t xml:space="preserve">adhesives </w:t>
            </w:r>
          </w:p>
          <w:p w:rsidR="00000000" w:rsidRPr="00C550AD" w:rsidP="00C550AD">
            <w:pPr>
              <w:pStyle w:val="ListBullet"/>
            </w:pPr>
            <w:r w:rsidRPr="00C550AD">
              <w:t xml:space="preserve">nails </w:t>
            </w:r>
          </w:p>
          <w:p w:rsidR="00000000" w:rsidRPr="00C550AD" w:rsidP="00C550AD">
            <w:pPr>
              <w:pStyle w:val="ListBullet"/>
            </w:pPr>
            <w:r w:rsidRPr="00C550AD">
              <w:t xml:space="preserve">plugs </w:t>
            </w:r>
          </w:p>
          <w:p w:rsidR="00000000" w:rsidP="00C550AD">
            <w:pPr>
              <w:pStyle w:val="ListBullet"/>
              <w:rPr>
                <w:lang w:val="en-NZ"/>
              </w:rPr>
            </w:pPr>
            <w:r w:rsidRPr="00C550AD">
              <w:t>primers</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50AD">
            <w:pPr>
              <w:pStyle w:val="BodyText"/>
              <w:rPr>
                <w:lang w:val="en-NZ"/>
              </w:rPr>
            </w:pPr>
            <w:r w:rsidRPr="00C550A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550AD">
            <w:pPr>
              <w:pStyle w:val="ListBullet"/>
              <w:rPr>
                <w:lang w:val="en-NZ"/>
              </w:rPr>
            </w:pPr>
            <w:r w:rsidRPr="00C550AD">
              <w:t xml:space="preserve">that prescribed under legislation, regulations and enterprise policies and practices </w:t>
            </w:r>
          </w:p>
        </w:tc>
      </w:tr>
      <w:tr w:rsidTr="00C550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550AD" w:rsidP="00C550AD">
            <w:pPr>
              <w:pStyle w:val="BodyText"/>
            </w:pPr>
            <w:r w:rsidRPr="00C550AD">
              <w:rPr>
                <w:rStyle w:val="SpecialBold"/>
              </w:rPr>
              <w:t>Information and procedures include:</w:t>
            </w:r>
          </w:p>
          <w:p w:rsidR="00000000" w:rsidP="00C550A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550AD" w:rsidP="00C550AD">
            <w:pPr>
              <w:pStyle w:val="ListBullet"/>
            </w:pPr>
            <w:r w:rsidRPr="00C550AD">
              <w:t xml:space="preserve">workplace procedures relating to the use of tools and equipment </w:t>
            </w:r>
          </w:p>
          <w:p w:rsidR="00000000" w:rsidRPr="00C550AD" w:rsidP="00C550AD">
            <w:pPr>
              <w:pStyle w:val="ListBullet"/>
            </w:pPr>
            <w:r w:rsidRPr="00C550AD">
              <w:t xml:space="preserve">work instructions, including job sheets, cutting lists, plans, drawings and designs </w:t>
            </w:r>
          </w:p>
          <w:p w:rsidR="00000000" w:rsidRPr="00C550AD" w:rsidP="00C550AD">
            <w:pPr>
              <w:pStyle w:val="ListBullet"/>
            </w:pPr>
            <w:r w:rsidRPr="00C550AD">
              <w:t xml:space="preserve">workplace procedures relating to reporting and communication </w:t>
            </w:r>
          </w:p>
          <w:p w:rsidR="00000000" w:rsidRPr="00C550AD" w:rsidP="00C550AD">
            <w:pPr>
              <w:pStyle w:val="ListBullet"/>
            </w:pPr>
            <w:r w:rsidRPr="00C550AD">
              <w:t xml:space="preserve">manufacturer specifications and operational </w:t>
            </w:r>
            <w:r w:rsidRPr="00C550AD">
              <w:t xml:space="preserve">procedures </w:t>
            </w:r>
          </w:p>
        </w:tc>
      </w:tr>
    </w:tbl>
    <w:p w:rsidR="00000000" w:rsidRPr="00C550AD" w:rsidP="00C550AD">
      <w:pPr>
        <w:pStyle w:val="BodyText"/>
      </w:pPr>
    </w:p>
    <w:p w:rsidR="00000000" w:rsidRPr="00C550AD" w:rsidP="00C550AD">
      <w:pPr>
        <w:pStyle w:val="AllowPageBreak"/>
      </w:pPr>
    </w:p>
    <w:p w:rsidR="00000000" w:rsidRPr="00C550AD" w:rsidP="00C550AD">
      <w:pPr>
        <w:pStyle w:val="Heading1"/>
      </w:pPr>
      <w:bookmarkStart w:id="9" w:name="O_641070"/>
      <w:bookmarkEnd w:id="9"/>
      <w:r w:rsidRPr="00C550AD">
        <w:t>Unit Mapping Information</w:t>
      </w:r>
    </w:p>
    <w:p w:rsidR="00000000" w:rsidRPr="00C550AD" w:rsidP="00C550AD">
      <w:pPr>
        <w:pStyle w:val="BodyText"/>
      </w:pPr>
      <w:r w:rsidRPr="00C550AD">
        <w:t>Supersedes and is equivalent to LMFFL2502A Install impact and sound absorption underlay</w:t>
      </w:r>
    </w:p>
    <w:p w:rsidR="00000000" w:rsidRPr="00C550AD" w:rsidP="00C550AD">
      <w:pPr>
        <w:pStyle w:val="AllowPageBreak"/>
      </w:pPr>
    </w:p>
    <w:p w:rsidR="00000000" w:rsidRPr="00C550AD" w:rsidP="00C550AD">
      <w:pPr>
        <w:pStyle w:val="Heading1"/>
      </w:pPr>
      <w:bookmarkStart w:id="10" w:name="O_641079"/>
      <w:bookmarkEnd w:id="10"/>
      <w:r w:rsidRPr="00C550AD">
        <w:t>Links</w:t>
      </w:r>
    </w:p>
    <w:p w:rsidR="00000000" w:rsidRPr="00C550AD" w:rsidP="00C550AD">
      <w:pPr>
        <w:pStyle w:val="BodyText"/>
      </w:pPr>
      <w:r w:rsidRPr="00C550AD">
        <w:t>Companion Volume implementation guides are found i</w:t>
      </w:r>
      <w:r w:rsidRPr="00C550AD">
        <w:t>n VETNet - https://vetnet.education.gov.au/Pages/TrainingDocs.aspx?q=0601ab95-583a-4e93-b2d4-cfb27b03ed73</w:t>
      </w:r>
    </w:p>
    <w:p w:rsidR="00000000" w:rsidRPr="00C550AD" w:rsidP="00C550AD"/>
    <w:sectPr w:rsidSect="00C55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AD" w:rsidRPr="00263C63" w:rsidP="00263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63" w:rsidP="00C55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3C63" w:rsidP="00C550A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3C63" w:rsidP="00C55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0AD" w:rsidRPr="00263C63" w:rsidP="00263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63" w:rsidRPr="002D2AF8" w:rsidP="00C550AD">
    <w:pPr>
      <w:pStyle w:val="Header"/>
      <w:framePr w:wrap="around"/>
    </w:pPr>
    <w:r>
      <w:fldChar w:fldCharType="begin"/>
    </w:r>
    <w:r>
      <w:instrText xml:space="preserve"> TITLE   \* MERGEFORMAT </w:instrText>
    </w:r>
    <w:r>
      <w:fldChar w:fldCharType="separate"/>
    </w:r>
    <w:r>
      <w:t>MSFFL2025 Install impact and sound absorption underlay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63C63" w:rsidP="00C55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7AE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4C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0AD"/>
    <w:pPr>
      <w:spacing w:before="360" w:after="60"/>
      <w:outlineLvl w:val="0"/>
    </w:pPr>
    <w:rPr>
      <w:sz w:val="32"/>
    </w:rPr>
  </w:style>
  <w:style w:type="paragraph" w:styleId="Heading2">
    <w:name w:val="heading 2"/>
    <w:basedOn w:val="HeadingBase"/>
    <w:next w:val="BodyText"/>
    <w:link w:val="Heading2Char"/>
    <w:qFormat/>
    <w:rsid w:val="00C550AD"/>
    <w:pPr>
      <w:keepLines/>
      <w:spacing w:before="240" w:after="120"/>
      <w:outlineLvl w:val="1"/>
    </w:pPr>
    <w:rPr>
      <w:sz w:val="28"/>
      <w:szCs w:val="40"/>
    </w:rPr>
  </w:style>
  <w:style w:type="paragraph" w:styleId="Heading3">
    <w:name w:val="heading 3"/>
    <w:basedOn w:val="HeadingBase"/>
    <w:next w:val="BodyText"/>
    <w:link w:val="Heading3Char"/>
    <w:qFormat/>
    <w:rsid w:val="00C550AD"/>
    <w:pPr>
      <w:spacing w:before="180" w:after="120"/>
      <w:outlineLvl w:val="2"/>
    </w:pPr>
    <w:rPr>
      <w:spacing w:val="-10"/>
      <w:kern w:val="32"/>
    </w:rPr>
  </w:style>
  <w:style w:type="paragraph" w:styleId="Heading4">
    <w:name w:val="heading 4"/>
    <w:basedOn w:val="HeadingBase"/>
    <w:next w:val="BodyText"/>
    <w:link w:val="Heading4Char"/>
    <w:qFormat/>
    <w:rsid w:val="00C550AD"/>
    <w:pPr>
      <w:spacing w:before="160" w:after="120"/>
      <w:outlineLvl w:val="3"/>
    </w:pPr>
    <w:rPr>
      <w:sz w:val="22"/>
    </w:rPr>
  </w:style>
  <w:style w:type="paragraph" w:styleId="Heading5">
    <w:name w:val="heading 5"/>
    <w:basedOn w:val="HeadingBase"/>
    <w:next w:val="Normal"/>
    <w:link w:val="Heading5Char"/>
    <w:qFormat/>
    <w:rsid w:val="00C550AD"/>
    <w:pPr>
      <w:spacing w:before="80"/>
      <w:outlineLvl w:val="4"/>
    </w:pPr>
    <w:rPr>
      <w:color w:val="918585"/>
      <w:sz w:val="20"/>
    </w:rPr>
  </w:style>
  <w:style w:type="paragraph" w:styleId="Heading6">
    <w:name w:val="heading 6"/>
    <w:basedOn w:val="HeadingBase"/>
    <w:next w:val="Normal"/>
    <w:link w:val="Heading6Char"/>
    <w:qFormat/>
    <w:rsid w:val="00C550AD"/>
    <w:pPr>
      <w:spacing w:before="60"/>
      <w:outlineLvl w:val="5"/>
    </w:pPr>
    <w:rPr>
      <w:color w:val="918585"/>
      <w:sz w:val="20"/>
    </w:rPr>
  </w:style>
  <w:style w:type="paragraph" w:styleId="Heading7">
    <w:name w:val="heading 7"/>
    <w:basedOn w:val="Normal"/>
    <w:next w:val="Normal"/>
    <w:link w:val="Heading7Char"/>
    <w:qFormat/>
    <w:rsid w:val="00C550AD"/>
    <w:pPr>
      <w:ind w:left="720"/>
      <w:outlineLvl w:val="6"/>
    </w:pPr>
    <w:rPr>
      <w:i/>
    </w:rPr>
  </w:style>
  <w:style w:type="paragraph" w:styleId="Heading8">
    <w:name w:val="heading 8"/>
    <w:basedOn w:val="Normal"/>
    <w:next w:val="Normal"/>
    <w:link w:val="Heading8Char"/>
    <w:qFormat/>
    <w:rsid w:val="00C550AD"/>
    <w:pPr>
      <w:ind w:left="720"/>
      <w:outlineLvl w:val="7"/>
    </w:pPr>
    <w:rPr>
      <w:i/>
    </w:rPr>
  </w:style>
  <w:style w:type="paragraph" w:styleId="Heading9">
    <w:name w:val="heading 9"/>
    <w:basedOn w:val="Normal"/>
    <w:next w:val="Normal"/>
    <w:link w:val="Heading9Char"/>
    <w:qFormat/>
    <w:rsid w:val="00C550AD"/>
    <w:pPr>
      <w:ind w:left="720"/>
      <w:outlineLvl w:val="8"/>
    </w:pPr>
    <w:rPr>
      <w:i/>
    </w:rPr>
  </w:style>
  <w:style w:type="character" w:default="1" w:styleId="DefaultParagraphFont">
    <w:name w:val="Default Paragraph Font"/>
    <w:uiPriority w:val="1"/>
    <w:unhideWhenUsed/>
    <w:rsid w:val="00C55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0AD"/>
  </w:style>
  <w:style w:type="character" w:customStyle="1" w:styleId="Heading1Char">
    <w:name w:val="Heading 1 Char"/>
    <w:basedOn w:val="DefaultParagraphFont"/>
    <w:link w:val="Heading1"/>
    <w:rsid w:val="00C550AD"/>
    <w:rPr>
      <w:rFonts w:ascii="Times New Roman" w:eastAsia="Times New Roman" w:hAnsi="Times New Roman" w:cs="Times New Roman"/>
      <w:b/>
      <w:sz w:val="32"/>
      <w:szCs w:val="20"/>
      <w:lang w:eastAsia="en-US"/>
    </w:rPr>
  </w:style>
  <w:style w:type="paragraph" w:styleId="BodyText">
    <w:name w:val="Body Text"/>
    <w:basedOn w:val="Normal"/>
    <w:link w:val="BodyTextChar"/>
    <w:rsid w:val="00C550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0AD"/>
    <w:rPr>
      <w:rFonts w:ascii="Times New Roman" w:eastAsia="Times New Roman" w:hAnsi="Times New Roman" w:cs="Times New Roman"/>
      <w:sz w:val="24"/>
      <w:lang w:eastAsia="en-US"/>
    </w:rPr>
  </w:style>
  <w:style w:type="paragraph" w:styleId="ListBullet">
    <w:name w:val="List Bullet"/>
    <w:basedOn w:val="List"/>
    <w:rsid w:val="00C550AD"/>
    <w:pPr>
      <w:numPr>
        <w:numId w:val="12"/>
      </w:numPr>
      <w:tabs>
        <w:tab w:val="clear" w:pos="340"/>
      </w:tabs>
      <w:spacing w:before="40" w:after="40"/>
    </w:pPr>
  </w:style>
  <w:style w:type="character" w:customStyle="1" w:styleId="SpecialBold">
    <w:name w:val="Special Bold"/>
    <w:basedOn w:val="DefaultParagraphFont"/>
    <w:rsid w:val="00C550AD"/>
    <w:rPr>
      <w:b/>
      <w:spacing w:val="0"/>
    </w:rPr>
  </w:style>
  <w:style w:type="paragraph" w:customStyle="1" w:styleId="SuperHeading">
    <w:name w:val="SuperHeading"/>
    <w:basedOn w:val="Normal"/>
    <w:rsid w:val="00C550AD"/>
    <w:pPr>
      <w:spacing w:before="240" w:after="120"/>
      <w:outlineLvl w:val="0"/>
    </w:pPr>
    <w:rPr>
      <w:rFonts w:ascii="Times New Roman" w:hAnsi="Times New Roman"/>
      <w:b/>
      <w:sz w:val="32"/>
    </w:rPr>
  </w:style>
  <w:style w:type="paragraph" w:customStyle="1" w:styleId="AllowPageBreak">
    <w:name w:val="AllowPageBreak"/>
    <w:rsid w:val="00C55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0AD"/>
    <w:rPr>
      <w:rFonts w:ascii="Courier New" w:eastAsia="Times New Roman" w:hAnsi="Courier New" w:cs="Times New Roman"/>
      <w:i/>
      <w:szCs w:val="20"/>
      <w:lang w:eastAsia="en-US"/>
    </w:rPr>
  </w:style>
  <w:style w:type="paragraph" w:customStyle="1" w:styleId="HeadingBase">
    <w:name w:val="Heading Base"/>
    <w:rsid w:val="00C55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0AD"/>
    <w:pPr>
      <w:tabs>
        <w:tab w:val="right" w:leader="dot" w:pos="9072"/>
      </w:tabs>
      <w:ind w:left="567"/>
    </w:pPr>
    <w:rPr>
      <w:szCs w:val="22"/>
    </w:rPr>
  </w:style>
  <w:style w:type="paragraph" w:customStyle="1" w:styleId="TOCBase">
    <w:name w:val="TOC Base"/>
    <w:rsid w:val="00C55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0AD"/>
    <w:pPr>
      <w:tabs>
        <w:tab w:val="right" w:leader="dot" w:pos="9072"/>
      </w:tabs>
      <w:spacing w:before="40" w:after="40"/>
      <w:ind w:left="284"/>
    </w:pPr>
    <w:rPr>
      <w:rFonts w:ascii="Times New Roman" w:hAnsi="Times New Roman"/>
    </w:rPr>
  </w:style>
  <w:style w:type="paragraph" w:styleId="TOC1">
    <w:name w:val="toc 1"/>
    <w:basedOn w:val="TOCBase"/>
    <w:next w:val="Normal"/>
    <w:rsid w:val="00C55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0AD"/>
    <w:rPr>
      <w:rFonts w:ascii="Times New Roman" w:eastAsia="Times New Roman" w:hAnsi="Times New Roman" w:cs="Times New Roman"/>
      <w:sz w:val="16"/>
      <w:lang w:eastAsia="en-US"/>
    </w:rPr>
  </w:style>
  <w:style w:type="paragraph" w:styleId="Title">
    <w:name w:val="Title"/>
    <w:basedOn w:val="HeadingBase"/>
    <w:link w:val="TitleChar"/>
    <w:qFormat/>
    <w:rsid w:val="00C550AD"/>
    <w:pPr>
      <w:spacing w:before="5040"/>
      <w:jc w:val="center"/>
    </w:pPr>
    <w:rPr>
      <w:sz w:val="48"/>
      <w:szCs w:val="72"/>
      <w:lang w:val="en-US"/>
    </w:rPr>
  </w:style>
  <w:style w:type="character" w:customStyle="1" w:styleId="TitleChar">
    <w:name w:val="Title Char"/>
    <w:basedOn w:val="DefaultParagraphFont"/>
    <w:link w:val="Title"/>
    <w:rsid w:val="00C55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0AD"/>
    <w:pPr>
      <w:tabs>
        <w:tab w:val="left" w:pos="3600"/>
        <w:tab w:val="left" w:pos="3958"/>
      </w:tabs>
    </w:pPr>
  </w:style>
  <w:style w:type="paragraph" w:styleId="List">
    <w:name w:val="List"/>
    <w:basedOn w:val="BodyText"/>
    <w:next w:val="BodyText"/>
    <w:rsid w:val="00C550AD"/>
    <w:pPr>
      <w:tabs>
        <w:tab w:val="left" w:pos="340"/>
      </w:tabs>
      <w:spacing w:before="60" w:after="60"/>
      <w:ind w:left="340" w:hanging="340"/>
    </w:pPr>
  </w:style>
  <w:style w:type="paragraph" w:customStyle="1" w:styleId="Note">
    <w:name w:val="Note"/>
    <w:basedOn w:val="BodyText"/>
    <w:rsid w:val="00C55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0AD"/>
    <w:pPr>
      <w:framePr w:wrap="auto" w:hAnchor="text" w:y="6049"/>
    </w:pPr>
    <w:rPr>
      <w:color w:val="000000"/>
      <w:sz w:val="40"/>
    </w:rPr>
  </w:style>
  <w:style w:type="paragraph" w:customStyle="1" w:styleId="TOCTitle">
    <w:name w:val="TOCTitle"/>
    <w:basedOn w:val="Heading1"/>
    <w:rsid w:val="00C550AD"/>
    <w:pPr>
      <w:spacing w:after="240"/>
      <w:jc w:val="center"/>
      <w:outlineLvl w:val="9"/>
    </w:pPr>
    <w:rPr>
      <w:caps/>
    </w:rPr>
  </w:style>
  <w:style w:type="paragraph" w:customStyle="1" w:styleId="Version">
    <w:name w:val="Version"/>
    <w:rsid w:val="00C550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0AD"/>
    <w:pPr>
      <w:numPr>
        <w:numId w:val="13"/>
      </w:numPr>
      <w:tabs>
        <w:tab w:val="clear" w:pos="680"/>
      </w:tabs>
    </w:pPr>
  </w:style>
  <w:style w:type="paragraph" w:styleId="Index1">
    <w:name w:val="index 1"/>
    <w:basedOn w:val="Normal"/>
    <w:next w:val="Normal"/>
    <w:semiHidden/>
    <w:rsid w:val="00C550AD"/>
    <w:pPr>
      <w:keepNext w:val="0"/>
      <w:tabs>
        <w:tab w:val="right" w:pos="4176"/>
      </w:tabs>
      <w:ind w:left="198" w:hanging="198"/>
    </w:pPr>
    <w:rPr>
      <w:rFonts w:ascii="Garamond" w:hAnsi="Garamond"/>
    </w:rPr>
  </w:style>
  <w:style w:type="paragraph" w:styleId="IndexHeading">
    <w:name w:val="index heading"/>
    <w:basedOn w:val="Normal"/>
    <w:next w:val="Index1"/>
    <w:semiHidden/>
    <w:rsid w:val="00C550AD"/>
    <w:pPr>
      <w:spacing w:before="120" w:after="120"/>
    </w:pPr>
    <w:rPr>
      <w:rFonts w:ascii="Arial" w:hAnsi="Arial"/>
      <w:b/>
      <w:color w:val="918585"/>
      <w:sz w:val="24"/>
    </w:rPr>
  </w:style>
  <w:style w:type="paragraph" w:styleId="Header">
    <w:name w:val="header"/>
    <w:basedOn w:val="Normal"/>
    <w:link w:val="HeaderChar"/>
    <w:rsid w:val="00C55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0AD"/>
    <w:rPr>
      <w:rFonts w:ascii="Times New Roman" w:eastAsia="Times New Roman" w:hAnsi="Times New Roman" w:cs="Times New Roman"/>
      <w:sz w:val="16"/>
      <w:szCs w:val="20"/>
      <w:lang w:val="en-GB" w:eastAsia="en-US"/>
    </w:rPr>
  </w:style>
  <w:style w:type="paragraph" w:customStyle="1" w:styleId="Chapter">
    <w:name w:val="Chapter"/>
    <w:basedOn w:val="Normal"/>
    <w:rsid w:val="00C550AD"/>
    <w:pPr>
      <w:spacing w:before="240"/>
    </w:pPr>
    <w:rPr>
      <w:rFonts w:ascii="Times New Roman" w:hAnsi="Times New Roman"/>
      <w:smallCaps/>
      <w:spacing w:val="80"/>
      <w:sz w:val="28"/>
    </w:rPr>
  </w:style>
  <w:style w:type="paragraph" w:customStyle="1" w:styleId="InChapter">
    <w:name w:val="InChapter"/>
    <w:basedOn w:val="Heading3"/>
    <w:rsid w:val="00C550AD"/>
    <w:pPr>
      <w:spacing w:after="240"/>
      <w:outlineLvl w:val="9"/>
    </w:pPr>
    <w:rPr>
      <w:noProof/>
    </w:rPr>
  </w:style>
  <w:style w:type="paragraph" w:styleId="Index2">
    <w:name w:val="index 2"/>
    <w:basedOn w:val="Normal"/>
    <w:next w:val="Normal"/>
    <w:semiHidden/>
    <w:rsid w:val="00C550AD"/>
    <w:pPr>
      <w:tabs>
        <w:tab w:val="right" w:pos="4176"/>
      </w:tabs>
      <w:ind w:left="568" w:hanging="284"/>
    </w:pPr>
    <w:rPr>
      <w:rFonts w:ascii="Garamond" w:hAnsi="Garamond"/>
    </w:rPr>
  </w:style>
  <w:style w:type="paragraph" w:customStyle="1" w:styleId="Byline">
    <w:name w:val="Byline"/>
    <w:rsid w:val="00C55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0AD"/>
    <w:pPr>
      <w:tabs>
        <w:tab w:val="clear" w:pos="3600"/>
        <w:tab w:val="clear" w:pos="3958"/>
      </w:tabs>
      <w:jc w:val="right"/>
    </w:pPr>
  </w:style>
  <w:style w:type="character" w:styleId="Emphasis">
    <w:name w:val="Emphasis"/>
    <w:basedOn w:val="DefaultParagraphFont"/>
    <w:qFormat/>
    <w:rsid w:val="00C550AD"/>
    <w:rPr>
      <w:i/>
    </w:rPr>
  </w:style>
  <w:style w:type="paragraph" w:styleId="Caption">
    <w:name w:val="caption"/>
    <w:basedOn w:val="BodyText"/>
    <w:next w:val="Normal"/>
    <w:qFormat/>
    <w:rsid w:val="00C550AD"/>
    <w:pPr>
      <w:framePr w:w="2268" w:hSpace="181" w:vSpace="181" w:wrap="around" w:vAnchor="text" w:hAnchor="page" w:x="1135" w:y="285" w:anchorLock="1"/>
    </w:pPr>
    <w:rPr>
      <w:i/>
    </w:rPr>
  </w:style>
  <w:style w:type="paragraph" w:customStyle="1" w:styleId="MiniTOCTitle">
    <w:name w:val="MiniTOCTitle"/>
    <w:basedOn w:val="Heading4"/>
    <w:rsid w:val="00C550AD"/>
    <w:pPr>
      <w:spacing w:before="240"/>
      <w:outlineLvl w:val="9"/>
    </w:pPr>
    <w:rPr>
      <w:noProof/>
      <w:sz w:val="24"/>
    </w:rPr>
  </w:style>
  <w:style w:type="paragraph" w:customStyle="1" w:styleId="MiniTOCItem">
    <w:name w:val="MiniTOCItem"/>
    <w:basedOn w:val="ListBullet"/>
    <w:rsid w:val="00C550AD"/>
    <w:pPr>
      <w:numPr>
        <w:numId w:val="0"/>
      </w:numPr>
      <w:tabs>
        <w:tab w:val="right" w:leader="dot" w:pos="6521"/>
      </w:tabs>
      <w:spacing w:before="0" w:after="0"/>
    </w:pPr>
  </w:style>
  <w:style w:type="paragraph" w:customStyle="1" w:styleId="TOFTitle">
    <w:name w:val="TOFTitle"/>
    <w:basedOn w:val="TOCTitle"/>
    <w:rsid w:val="00C550AD"/>
  </w:style>
  <w:style w:type="paragraph" w:styleId="TableofFigures">
    <w:name w:val="table of figures"/>
    <w:basedOn w:val="Normal"/>
    <w:next w:val="Normal"/>
    <w:semiHidden/>
    <w:rsid w:val="00C550AD"/>
    <w:pPr>
      <w:tabs>
        <w:tab w:val="right" w:leader="dot" w:pos="9072"/>
      </w:tabs>
      <w:ind w:left="970" w:hanging="403"/>
    </w:pPr>
    <w:rPr>
      <w:rFonts w:ascii="Times New Roman" w:hAnsi="Times New Roman"/>
      <w:b/>
    </w:rPr>
  </w:style>
  <w:style w:type="paragraph" w:styleId="ListNumber">
    <w:name w:val="List Number"/>
    <w:basedOn w:val="List"/>
    <w:rsid w:val="00C550AD"/>
    <w:pPr>
      <w:numPr>
        <w:numId w:val="10"/>
      </w:numPr>
    </w:pPr>
  </w:style>
  <w:style w:type="character" w:customStyle="1" w:styleId="WingdingSymbols">
    <w:name w:val="Wingding Symbols"/>
    <w:rsid w:val="00C550AD"/>
    <w:rPr>
      <w:rFonts w:ascii="Wingdings" w:hAnsi="Wingdings"/>
    </w:rPr>
  </w:style>
  <w:style w:type="paragraph" w:customStyle="1" w:styleId="TableHeading">
    <w:name w:val="Table Heading"/>
    <w:basedOn w:val="HeadingBase"/>
    <w:rsid w:val="00C550AD"/>
    <w:pPr>
      <w:keepLines/>
      <w:pBdr>
        <w:bottom w:val="single" w:sz="6" w:space="1" w:color="918585"/>
      </w:pBdr>
      <w:spacing w:before="240"/>
    </w:pPr>
  </w:style>
  <w:style w:type="character" w:customStyle="1" w:styleId="HotSpot">
    <w:name w:val="HotSpot"/>
    <w:rsid w:val="00C550AD"/>
    <w:rPr>
      <w:color w:val="0033CC"/>
      <w:u w:val="none"/>
    </w:rPr>
  </w:style>
  <w:style w:type="paragraph" w:customStyle="1" w:styleId="BodyTextRight">
    <w:name w:val="Body Text Right"/>
    <w:basedOn w:val="BodyText"/>
    <w:rsid w:val="00C550AD"/>
    <w:pPr>
      <w:spacing w:before="0" w:after="0"/>
      <w:jc w:val="right"/>
    </w:pPr>
  </w:style>
  <w:style w:type="paragraph" w:styleId="Index3">
    <w:name w:val="index 3"/>
    <w:basedOn w:val="ListNumber2"/>
    <w:next w:val="Normal"/>
    <w:semiHidden/>
    <w:rsid w:val="00C550AD"/>
    <w:pPr>
      <w:numPr>
        <w:numId w:val="0"/>
      </w:numPr>
      <w:tabs>
        <w:tab w:val="right" w:leader="dot" w:pos="4176"/>
      </w:tabs>
    </w:pPr>
  </w:style>
  <w:style w:type="paragraph" w:styleId="ListNumber2">
    <w:name w:val="List Number 2"/>
    <w:basedOn w:val="List2"/>
    <w:rsid w:val="00C550AD"/>
    <w:pPr>
      <w:numPr>
        <w:numId w:val="9"/>
      </w:numPr>
      <w:tabs>
        <w:tab w:val="clear" w:pos="1060"/>
      </w:tabs>
    </w:pPr>
  </w:style>
  <w:style w:type="paragraph" w:customStyle="1" w:styleId="MarginNote">
    <w:name w:val="Margin Note"/>
    <w:basedOn w:val="BodyText"/>
    <w:rsid w:val="00C55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0AD"/>
    <w:rPr>
      <w:sz w:val="32"/>
    </w:rPr>
  </w:style>
  <w:style w:type="paragraph" w:customStyle="1" w:styleId="HeadingProcedure">
    <w:name w:val="Heading Procedure"/>
    <w:basedOn w:val="HeadingBase"/>
    <w:next w:val="Normal"/>
    <w:rsid w:val="00C550AD"/>
    <w:pPr>
      <w:tabs>
        <w:tab w:val="left" w:pos="0"/>
      </w:tabs>
      <w:spacing w:before="120" w:after="60"/>
    </w:pPr>
    <w:rPr>
      <w:i/>
      <w:color w:val="918585"/>
      <w:sz w:val="22"/>
    </w:rPr>
  </w:style>
  <w:style w:type="paragraph" w:customStyle="1" w:styleId="TableBodyText">
    <w:name w:val="Table Body Text"/>
    <w:basedOn w:val="BodyText"/>
    <w:rsid w:val="00C550AD"/>
    <w:pPr>
      <w:spacing w:before="60" w:after="60"/>
    </w:pPr>
  </w:style>
  <w:style w:type="paragraph" w:styleId="ListContinue">
    <w:name w:val="List Continue"/>
    <w:basedOn w:val="List"/>
    <w:rsid w:val="00C550AD"/>
    <w:pPr>
      <w:ind w:firstLine="0"/>
    </w:pPr>
  </w:style>
  <w:style w:type="paragraph" w:customStyle="1" w:styleId="ListNote">
    <w:name w:val="List Note"/>
    <w:basedOn w:val="List"/>
    <w:rsid w:val="00C550AD"/>
    <w:pPr>
      <w:pBdr>
        <w:top w:val="single" w:sz="6" w:space="2" w:color="918585"/>
        <w:bottom w:val="single" w:sz="6" w:space="2" w:color="918585"/>
      </w:pBdr>
      <w:tabs>
        <w:tab w:val="left" w:pos="1021"/>
      </w:tabs>
      <w:ind w:firstLine="0"/>
    </w:pPr>
  </w:style>
  <w:style w:type="paragraph" w:customStyle="1" w:styleId="Warning">
    <w:name w:val="Warning"/>
    <w:basedOn w:val="BodyText"/>
    <w:rsid w:val="00C550AD"/>
    <w:pPr>
      <w:shd w:val="clear" w:color="auto" w:fill="D9D9D9"/>
      <w:tabs>
        <w:tab w:val="left" w:pos="992"/>
      </w:tabs>
      <w:ind w:left="119" w:right="119"/>
    </w:pPr>
    <w:rPr>
      <w:sz w:val="20"/>
    </w:rPr>
  </w:style>
  <w:style w:type="paragraph" w:customStyle="1" w:styleId="MarginIcons">
    <w:name w:val="Margin Icons"/>
    <w:basedOn w:val="BodyText"/>
    <w:rsid w:val="00C55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0AD"/>
    <w:rPr>
      <w:rFonts w:ascii="Courier New" w:hAnsi="Courier New"/>
    </w:rPr>
  </w:style>
  <w:style w:type="paragraph" w:customStyle="1" w:styleId="NoteBullet">
    <w:name w:val="Note Bullet"/>
    <w:basedOn w:val="Note"/>
    <w:rsid w:val="00C550AD"/>
    <w:pPr>
      <w:tabs>
        <w:tab w:val="clear" w:pos="680"/>
      </w:tabs>
      <w:spacing w:before="60" w:after="60"/>
    </w:pPr>
  </w:style>
  <w:style w:type="paragraph" w:customStyle="1" w:styleId="SubHeading2">
    <w:name w:val="SubHeading2"/>
    <w:basedOn w:val="HeadingBase"/>
    <w:rsid w:val="00C550AD"/>
    <w:pPr>
      <w:spacing w:before="240" w:after="60"/>
    </w:pPr>
    <w:rPr>
      <w:sz w:val="20"/>
    </w:rPr>
  </w:style>
  <w:style w:type="paragraph" w:customStyle="1" w:styleId="SubHeading1">
    <w:name w:val="SubHeading1"/>
    <w:basedOn w:val="HeadingBase"/>
    <w:rsid w:val="00C550AD"/>
    <w:pPr>
      <w:spacing w:before="240" w:after="60"/>
    </w:pPr>
    <w:rPr>
      <w:color w:val="918585"/>
      <w:sz w:val="22"/>
    </w:rPr>
  </w:style>
  <w:style w:type="paragraph" w:customStyle="1" w:styleId="SideHeading">
    <w:name w:val="Side Heading"/>
    <w:basedOn w:val="HeadingBase"/>
    <w:rsid w:val="00C55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0AD"/>
    <w:pPr>
      <w:tabs>
        <w:tab w:val="num" w:pos="360"/>
      </w:tabs>
    </w:pPr>
  </w:style>
  <w:style w:type="paragraph" w:styleId="PlainText">
    <w:name w:val="Plain Text"/>
    <w:basedOn w:val="Normal"/>
    <w:link w:val="PlainTextChar"/>
    <w:rsid w:val="00C550AD"/>
    <w:rPr>
      <w:sz w:val="20"/>
    </w:rPr>
  </w:style>
  <w:style w:type="character" w:customStyle="1" w:styleId="PlainTextChar">
    <w:name w:val="Plain Text Char"/>
    <w:basedOn w:val="DefaultParagraphFont"/>
    <w:link w:val="PlainText"/>
    <w:rsid w:val="00C550AD"/>
    <w:rPr>
      <w:rFonts w:ascii="Courier New" w:eastAsia="Times New Roman" w:hAnsi="Courier New" w:cs="Times New Roman"/>
      <w:sz w:val="20"/>
      <w:szCs w:val="20"/>
      <w:lang w:eastAsia="en-US"/>
    </w:rPr>
  </w:style>
  <w:style w:type="character" w:customStyle="1" w:styleId="MenuOption">
    <w:name w:val="Menu Option"/>
    <w:basedOn w:val="DefaultParagraphFont"/>
    <w:rsid w:val="00C550AD"/>
    <w:rPr>
      <w:b/>
      <w:smallCaps/>
    </w:rPr>
  </w:style>
  <w:style w:type="paragraph" w:customStyle="1" w:styleId="TableListNumber">
    <w:name w:val="Table List Number"/>
    <w:basedOn w:val="ListNumber"/>
    <w:rsid w:val="00C550AD"/>
    <w:pPr>
      <w:numPr>
        <w:numId w:val="0"/>
      </w:numPr>
    </w:pPr>
  </w:style>
  <w:style w:type="paragraph" w:styleId="TOC4">
    <w:name w:val="toc 4"/>
    <w:basedOn w:val="TOCBase"/>
    <w:next w:val="Normal"/>
    <w:semiHidden/>
    <w:rsid w:val="00C550AD"/>
    <w:pPr>
      <w:tabs>
        <w:tab w:val="right" w:leader="dot" w:pos="9071"/>
      </w:tabs>
      <w:ind w:left="1701"/>
    </w:pPr>
  </w:style>
  <w:style w:type="paragraph" w:customStyle="1" w:styleId="ListAlpha">
    <w:name w:val="List Alpha"/>
    <w:basedOn w:val="List"/>
    <w:rsid w:val="00C550AD"/>
    <w:pPr>
      <w:numPr>
        <w:numId w:val="8"/>
      </w:numPr>
    </w:pPr>
  </w:style>
  <w:style w:type="paragraph" w:customStyle="1" w:styleId="ListAlpha2">
    <w:name w:val="List Alpha 2"/>
    <w:basedOn w:val="List2"/>
    <w:rsid w:val="00C550AD"/>
    <w:pPr>
      <w:numPr>
        <w:numId w:val="7"/>
      </w:numPr>
    </w:pPr>
  </w:style>
  <w:style w:type="paragraph" w:styleId="List2">
    <w:name w:val="List 2"/>
    <w:basedOn w:val="BodyText"/>
    <w:rsid w:val="00C550AD"/>
    <w:pPr>
      <w:tabs>
        <w:tab w:val="left" w:pos="680"/>
      </w:tabs>
      <w:spacing w:before="60" w:after="60"/>
      <w:ind w:left="680" w:hanging="340"/>
    </w:pPr>
  </w:style>
  <w:style w:type="paragraph" w:styleId="List3">
    <w:name w:val="List 3"/>
    <w:basedOn w:val="BodyText"/>
    <w:rsid w:val="00C550AD"/>
    <w:pPr>
      <w:tabs>
        <w:tab w:val="left" w:pos="1021"/>
      </w:tabs>
      <w:spacing w:before="60" w:after="60"/>
      <w:ind w:left="1020" w:hanging="340"/>
    </w:pPr>
  </w:style>
  <w:style w:type="paragraph" w:styleId="List4">
    <w:name w:val="List 4"/>
    <w:basedOn w:val="BodyText"/>
    <w:rsid w:val="00C550AD"/>
    <w:pPr>
      <w:tabs>
        <w:tab w:val="left" w:pos="1361"/>
      </w:tabs>
      <w:spacing w:before="60" w:after="60"/>
      <w:ind w:left="1361" w:hanging="340"/>
    </w:pPr>
  </w:style>
  <w:style w:type="paragraph" w:styleId="List5">
    <w:name w:val="List 5"/>
    <w:basedOn w:val="BodyText"/>
    <w:rsid w:val="00C550AD"/>
    <w:pPr>
      <w:tabs>
        <w:tab w:val="left" w:pos="1701"/>
      </w:tabs>
      <w:spacing w:before="60" w:after="60"/>
      <w:ind w:left="1701" w:hanging="340"/>
    </w:pPr>
  </w:style>
  <w:style w:type="paragraph" w:styleId="ListBullet3">
    <w:name w:val="List Bullet 3"/>
    <w:basedOn w:val="List3"/>
    <w:rsid w:val="00C550AD"/>
    <w:pPr>
      <w:numPr>
        <w:numId w:val="14"/>
      </w:numPr>
      <w:tabs>
        <w:tab w:val="clear" w:pos="1021"/>
      </w:tabs>
      <w:ind w:left="1037" w:hanging="357"/>
    </w:pPr>
  </w:style>
  <w:style w:type="paragraph" w:styleId="ListBullet4">
    <w:name w:val="List Bullet 4"/>
    <w:basedOn w:val="List4"/>
    <w:rsid w:val="00C550AD"/>
    <w:pPr>
      <w:numPr>
        <w:numId w:val="2"/>
      </w:numPr>
      <w:tabs>
        <w:tab w:val="clear" w:pos="1361"/>
      </w:tabs>
    </w:pPr>
  </w:style>
  <w:style w:type="paragraph" w:styleId="ListBullet5">
    <w:name w:val="List Bullet 5"/>
    <w:basedOn w:val="List5"/>
    <w:rsid w:val="00C550AD"/>
    <w:pPr>
      <w:numPr>
        <w:numId w:val="3"/>
      </w:numPr>
    </w:pPr>
  </w:style>
  <w:style w:type="paragraph" w:styleId="ListContinue2">
    <w:name w:val="List Continue 2"/>
    <w:basedOn w:val="List2"/>
    <w:rsid w:val="00C550AD"/>
    <w:pPr>
      <w:ind w:firstLine="0"/>
    </w:pPr>
  </w:style>
  <w:style w:type="paragraph" w:styleId="ListContinue3">
    <w:name w:val="List Continue 3"/>
    <w:basedOn w:val="List3"/>
    <w:rsid w:val="00C550AD"/>
    <w:pPr>
      <w:ind w:left="1021" w:firstLine="0"/>
    </w:pPr>
  </w:style>
  <w:style w:type="paragraph" w:styleId="ListContinue4">
    <w:name w:val="List Continue 4"/>
    <w:basedOn w:val="List4"/>
    <w:rsid w:val="00C550AD"/>
    <w:pPr>
      <w:ind w:firstLine="0"/>
    </w:pPr>
  </w:style>
  <w:style w:type="paragraph" w:styleId="ListContinue5">
    <w:name w:val="List Continue 5"/>
    <w:basedOn w:val="List5"/>
    <w:rsid w:val="00C550AD"/>
    <w:pPr>
      <w:ind w:firstLine="0"/>
    </w:pPr>
  </w:style>
  <w:style w:type="paragraph" w:styleId="ListNumber3">
    <w:name w:val="List Number 3"/>
    <w:basedOn w:val="List3"/>
    <w:rsid w:val="00C550AD"/>
    <w:pPr>
      <w:numPr>
        <w:numId w:val="4"/>
      </w:numPr>
    </w:pPr>
  </w:style>
  <w:style w:type="paragraph" w:styleId="ListNumber4">
    <w:name w:val="List Number 4"/>
    <w:basedOn w:val="List4"/>
    <w:rsid w:val="00C550AD"/>
    <w:pPr>
      <w:numPr>
        <w:numId w:val="5"/>
      </w:numPr>
    </w:pPr>
  </w:style>
  <w:style w:type="paragraph" w:styleId="ListNumber5">
    <w:name w:val="List Number 5"/>
    <w:basedOn w:val="List5"/>
    <w:rsid w:val="00C550AD"/>
    <w:pPr>
      <w:numPr>
        <w:numId w:val="6"/>
      </w:numPr>
    </w:pPr>
  </w:style>
  <w:style w:type="paragraph" w:styleId="BlockText">
    <w:name w:val="Block Text"/>
    <w:basedOn w:val="Normal"/>
    <w:rsid w:val="00C550AD"/>
    <w:pPr>
      <w:spacing w:after="120"/>
      <w:ind w:left="1440" w:right="1440"/>
    </w:pPr>
  </w:style>
  <w:style w:type="character" w:customStyle="1" w:styleId="Subscript">
    <w:name w:val="Subscript"/>
    <w:basedOn w:val="DefaultParagraphFont"/>
    <w:rsid w:val="00C550AD"/>
    <w:rPr>
      <w:sz w:val="16"/>
      <w:vertAlign w:val="subscript"/>
    </w:rPr>
  </w:style>
  <w:style w:type="character" w:customStyle="1" w:styleId="Superscript">
    <w:name w:val="Superscript"/>
    <w:basedOn w:val="DefaultParagraphFont"/>
    <w:rsid w:val="00C550AD"/>
    <w:rPr>
      <w:sz w:val="16"/>
      <w:vertAlign w:val="superscript"/>
    </w:rPr>
  </w:style>
  <w:style w:type="character" w:customStyle="1" w:styleId="Symbols">
    <w:name w:val="Symbols"/>
    <w:basedOn w:val="DefaultParagraphFont"/>
    <w:rsid w:val="00C550AD"/>
    <w:rPr>
      <w:rFonts w:ascii="Symbol" w:hAnsi="Symbol"/>
    </w:rPr>
  </w:style>
  <w:style w:type="character" w:customStyle="1" w:styleId="MenuOptions">
    <w:name w:val="Menu Options"/>
    <w:basedOn w:val="DefaultParagraphFont"/>
    <w:rsid w:val="00C550AD"/>
    <w:rPr>
      <w:rFonts w:ascii="Arial Narrow" w:hAnsi="Arial Narrow"/>
      <w:smallCaps/>
    </w:rPr>
  </w:style>
  <w:style w:type="character" w:customStyle="1" w:styleId="Buttons">
    <w:name w:val="Buttons"/>
    <w:basedOn w:val="DefaultParagraphFont"/>
    <w:rsid w:val="00C550AD"/>
    <w:rPr>
      <w:b/>
    </w:rPr>
  </w:style>
  <w:style w:type="character" w:customStyle="1" w:styleId="Underlined">
    <w:name w:val="Underlined"/>
    <w:basedOn w:val="DefaultParagraphFont"/>
    <w:rsid w:val="00C550AD"/>
    <w:rPr>
      <w:u w:val="single"/>
    </w:rPr>
  </w:style>
  <w:style w:type="paragraph" w:customStyle="1" w:styleId="TableBodyTextRight">
    <w:name w:val="Table Body Text Right"/>
    <w:basedOn w:val="TableBodyText"/>
    <w:rsid w:val="00C550AD"/>
    <w:pPr>
      <w:widowControl w:val="0"/>
      <w:autoSpaceDE w:val="0"/>
      <w:autoSpaceDN w:val="0"/>
      <w:adjustRightInd w:val="0"/>
      <w:jc w:val="right"/>
    </w:pPr>
    <w:rPr>
      <w:rFonts w:cs="Arial"/>
      <w:szCs w:val="18"/>
    </w:rPr>
  </w:style>
  <w:style w:type="paragraph" w:customStyle="1" w:styleId="CopyrightText">
    <w:name w:val="Copyright Text"/>
    <w:basedOn w:val="BodyText"/>
    <w:rsid w:val="00C550AD"/>
    <w:rPr>
      <w:sz w:val="18"/>
    </w:rPr>
  </w:style>
  <w:style w:type="paragraph" w:customStyle="1" w:styleId="BodySmallRight">
    <w:name w:val="Body Small Right"/>
    <w:basedOn w:val="BodyTextRight"/>
    <w:rsid w:val="00C550AD"/>
    <w:rPr>
      <w:sz w:val="18"/>
      <w:szCs w:val="18"/>
    </w:rPr>
  </w:style>
  <w:style w:type="paragraph" w:customStyle="1" w:styleId="MarginEdition">
    <w:name w:val="Margin Edition"/>
    <w:basedOn w:val="MarginNote"/>
    <w:rsid w:val="00C550AD"/>
    <w:pPr>
      <w:spacing w:before="0" w:after="0"/>
    </w:pPr>
    <w:rPr>
      <w:rFonts w:ascii="Times New Roman" w:hAnsi="Times New Roman"/>
      <w:color w:val="999999"/>
    </w:rPr>
  </w:style>
  <w:style w:type="paragraph" w:customStyle="1" w:styleId="Spacer">
    <w:name w:val="Spacer"/>
    <w:basedOn w:val="Normal"/>
    <w:rsid w:val="00C550AD"/>
    <w:rPr>
      <w:sz w:val="2"/>
      <w:szCs w:val="2"/>
    </w:rPr>
  </w:style>
  <w:style w:type="character" w:customStyle="1" w:styleId="Small">
    <w:name w:val="Small"/>
    <w:basedOn w:val="DefaultParagraphFont"/>
    <w:rsid w:val="00C550AD"/>
    <w:rPr>
      <w:sz w:val="16"/>
    </w:rPr>
  </w:style>
  <w:style w:type="paragraph" w:customStyle="1" w:styleId="WideTable">
    <w:name w:val="Wide Table"/>
    <w:basedOn w:val="Normal"/>
    <w:rsid w:val="00C550AD"/>
    <w:pPr>
      <w:ind w:left="-1418"/>
    </w:pPr>
    <w:rPr>
      <w:sz w:val="2"/>
      <w:szCs w:val="2"/>
    </w:rPr>
  </w:style>
  <w:style w:type="character" w:styleId="PageNumber">
    <w:name w:val="page number"/>
    <w:basedOn w:val="DefaultParagraphFont"/>
    <w:rsid w:val="00C550AD"/>
  </w:style>
  <w:style w:type="paragraph" w:styleId="Quote">
    <w:name w:val="Quote"/>
    <w:basedOn w:val="Heading1"/>
    <w:link w:val="QuoteChar"/>
    <w:qFormat/>
    <w:rsid w:val="00C550AD"/>
    <w:rPr>
      <w:b w:val="0"/>
      <w:sz w:val="72"/>
      <w:szCs w:val="72"/>
      <w:lang w:val="en-NZ"/>
    </w:rPr>
  </w:style>
  <w:style w:type="character" w:customStyle="1" w:styleId="QuoteChar">
    <w:name w:val="Quote Char"/>
    <w:basedOn w:val="DefaultParagraphFont"/>
    <w:link w:val="Quote"/>
    <w:rsid w:val="00C55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0AD"/>
    <w:pPr>
      <w:pageBreakBefore/>
    </w:pPr>
  </w:style>
  <w:style w:type="paragraph" w:customStyle="1" w:styleId="Border">
    <w:name w:val="Border"/>
    <w:basedOn w:val="Normal"/>
    <w:qFormat/>
    <w:rsid w:val="00C55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0AD"/>
    <w:rPr>
      <w:b/>
      <w:bCs/>
      <w:i/>
      <w:iCs/>
      <w:color w:val="auto"/>
    </w:rPr>
  </w:style>
  <w:style w:type="paragraph" w:styleId="IntenseQuote">
    <w:name w:val="Intense Quote"/>
    <w:basedOn w:val="Normal"/>
    <w:next w:val="Normal"/>
    <w:link w:val="IntenseQuoteChar"/>
    <w:uiPriority w:val="30"/>
    <w:qFormat/>
    <w:rsid w:val="00C55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0AD"/>
    <w:rPr>
      <w:smallCaps/>
      <w:color w:val="auto"/>
      <w:u w:val="single"/>
    </w:rPr>
  </w:style>
  <w:style w:type="character" w:styleId="IntenseReference">
    <w:name w:val="Intense Reference"/>
    <w:basedOn w:val="DefaultParagraphFont"/>
    <w:uiPriority w:val="32"/>
    <w:qFormat/>
    <w:rsid w:val="00C550AD"/>
    <w:rPr>
      <w:b/>
      <w:bCs/>
      <w:smallCaps/>
      <w:color w:val="auto"/>
      <w:spacing w:val="5"/>
      <w:u w:val="single"/>
    </w:rPr>
  </w:style>
  <w:style w:type="paragraph" w:customStyle="1" w:styleId="2ColumnHeading">
    <w:name w:val="2Column Heading"/>
    <w:basedOn w:val="BodyText"/>
    <w:qFormat/>
    <w:rsid w:val="00C550AD"/>
    <w:pPr>
      <w:spacing w:after="60"/>
      <w:ind w:left="-2268"/>
    </w:pPr>
    <w:rPr>
      <w:b/>
    </w:rPr>
  </w:style>
  <w:style w:type="paragraph" w:customStyle="1" w:styleId="Heading1TOC">
    <w:name w:val="Heading1 TOC"/>
    <w:basedOn w:val="Normal"/>
    <w:qFormat/>
    <w:rsid w:val="00C550AD"/>
    <w:pPr>
      <w:spacing w:before="240" w:after="120"/>
    </w:pPr>
    <w:rPr>
      <w:rFonts w:ascii="Times New Roman" w:hAnsi="Times New Roman"/>
      <w:b/>
      <w:sz w:val="32"/>
    </w:rPr>
  </w:style>
  <w:style w:type="paragraph" w:customStyle="1" w:styleId="Heading2TOC">
    <w:name w:val="Heading2 TOC"/>
    <w:basedOn w:val="Normal"/>
    <w:qFormat/>
    <w:rsid w:val="00C550AD"/>
    <w:pPr>
      <w:spacing w:before="240" w:after="60"/>
    </w:pPr>
    <w:rPr>
      <w:rFonts w:ascii="Times New Roman" w:hAnsi="Times New Roman"/>
      <w:b/>
      <w:sz w:val="28"/>
    </w:rPr>
  </w:style>
  <w:style w:type="character" w:customStyle="1" w:styleId="Underline">
    <w:name w:val="Underline"/>
    <w:basedOn w:val="DefaultParagraphFont"/>
    <w:qFormat/>
    <w:rsid w:val="00C550AD"/>
    <w:rPr>
      <w:u w:val="single"/>
    </w:rPr>
  </w:style>
  <w:style w:type="character" w:customStyle="1" w:styleId="BoldandItalics">
    <w:name w:val="Bold and Italics"/>
    <w:qFormat/>
    <w:rsid w:val="00C550AD"/>
    <w:rPr>
      <w:b/>
      <w:i/>
      <w:u w:val="none"/>
    </w:rPr>
  </w:style>
  <w:style w:type="paragraph" w:styleId="BalloonText">
    <w:name w:val="Balloon Text"/>
    <w:basedOn w:val="Normal"/>
    <w:link w:val="BalloonTextChar"/>
    <w:rsid w:val="00C550AD"/>
    <w:rPr>
      <w:rFonts w:ascii="Tahoma" w:hAnsi="Tahoma" w:cs="Tahoma"/>
      <w:sz w:val="16"/>
      <w:szCs w:val="16"/>
    </w:rPr>
  </w:style>
  <w:style w:type="character" w:customStyle="1" w:styleId="BalloonTextChar">
    <w:name w:val="Balloon Text Char"/>
    <w:basedOn w:val="DefaultParagraphFont"/>
    <w:link w:val="BalloonText"/>
    <w:rsid w:val="00C55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0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0AD"/>
    <w:rPr>
      <w:b/>
      <w:color w:val="660033"/>
      <w:spacing w:val="0"/>
    </w:rPr>
  </w:style>
  <w:style w:type="paragraph" w:customStyle="1" w:styleId="Nameditemlist">
    <w:name w:val="Named item list"/>
    <w:basedOn w:val="BodyText"/>
    <w:qFormat/>
    <w:rsid w:val="00C550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5154</Characters>
  <Application>Microsoft Office Word</Application>
  <DocSecurity>0</DocSecurity>
  <Lines>231</Lines>
  <Paragraphs>114</Paragraphs>
  <ScaleCrop>false</ScaleCrop>
  <Company>Author-it Software Corporation Ltd.</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MSFFL2025 Install impact and sound absorption underlay</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