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51FC" w:rsidP="006251FC">
      <w:pPr>
        <w:pStyle w:val="Title"/>
      </w:pPr>
      <w:r>
        <w:fldChar w:fldCharType="begin"/>
      </w:r>
      <w:r>
        <w:instrText xml:space="preserve"> TITLE   \* MERGEFORMAT </w:instrText>
      </w:r>
      <w:r>
        <w:fldChar w:fldCharType="separate"/>
      </w:r>
      <w:r>
        <w:t>MSFFL2025 Install impact and sound absorption underlay</w:t>
      </w:r>
      <w:r>
        <w:fldChar w:fldCharType="end"/>
      </w:r>
    </w:p>
    <w:p w:rsidR="006251FC" w:rsidP="006251FC">
      <w:pPr>
        <w:pStyle w:val="Version"/>
        <w:sectPr w:rsidSect="002D55A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D55A6" w:rsidP="002D55A6">
      <w:pPr>
        <w:pStyle w:val="SuperHeading"/>
      </w:pPr>
      <w:r w:rsidRPr="002D55A6">
        <w:t>MSFFL2025 Install impact and sound absorption underlay</w:t>
      </w:r>
    </w:p>
    <w:p w:rsidR="00000000" w:rsidRPr="002D55A6" w:rsidP="002D55A6">
      <w:pPr>
        <w:pStyle w:val="Heading1"/>
      </w:pPr>
      <w:bookmarkStart w:id="1" w:name="O_641078"/>
      <w:bookmarkEnd w:id="1"/>
      <w:r w:rsidRPr="002D55A6">
        <w:t>Modification History</w:t>
      </w:r>
    </w:p>
    <w:p w:rsidR="00000000" w:rsidRPr="002D55A6" w:rsidP="006251FC">
      <w:pPr>
        <w:pStyle w:val="BodyText"/>
      </w:pPr>
      <w:r w:rsidRPr="002D55A6">
        <w:t>Release 2 - Unit code corrected in mapping - Supersedes and is equivalent to LMFFL2502A</w:t>
      </w:r>
    </w:p>
    <w:p w:rsidR="00000000" w:rsidRPr="002D55A6" w:rsidP="006251FC">
      <w:pPr>
        <w:pStyle w:val="BodyText"/>
      </w:pPr>
      <w:r w:rsidRPr="002D55A6">
        <w:t>Release 1 - New unit of competency</w:t>
      </w:r>
    </w:p>
    <w:p w:rsidR="00000000" w:rsidRPr="002D55A6" w:rsidP="002D55A6">
      <w:pPr>
        <w:pStyle w:val="Heading1"/>
      </w:pPr>
      <w:bookmarkStart w:id="2" w:name="O_641077"/>
      <w:bookmarkEnd w:id="2"/>
      <w:r w:rsidRPr="002D55A6">
        <w:t>Application</w:t>
      </w:r>
    </w:p>
    <w:p w:rsidR="00000000" w:rsidRPr="002D55A6" w:rsidP="006251FC">
      <w:pPr>
        <w:pStyle w:val="BodyText"/>
      </w:pPr>
      <w:r w:rsidRPr="002D55A6">
        <w:t>This unit of competency covers installing impact and sound absorpti</w:t>
      </w:r>
      <w:r w:rsidRPr="002D55A6">
        <w:t>on underlay over a new or existing sub-floor to provide impact and sound reduction in preparation for the installation of a laminate or engineered timber floor.</w:t>
      </w:r>
    </w:p>
    <w:p w:rsidR="00000000" w:rsidRPr="002D55A6" w:rsidP="006251FC">
      <w:pPr>
        <w:pStyle w:val="BodyText"/>
      </w:pPr>
      <w:r w:rsidRPr="002D55A6">
        <w:t>Licensing, legislative or certification requirements may apply to this unit and relevant state</w:t>
      </w:r>
      <w:r w:rsidRPr="002D55A6">
        <w:t>/territory and local government agencies should be consulted to determine any necessary certification or licensing for undertaking flooring work. Access to construction sites requires certification of general induction training specified by the National Co</w:t>
      </w:r>
      <w:r w:rsidRPr="002D55A6">
        <w:t>de of Practice for Induction for Construction Work (ASCC 2007).</w:t>
      </w:r>
    </w:p>
    <w:p w:rsidR="00000000" w:rsidRPr="002D55A6" w:rsidP="002D55A6">
      <w:pPr>
        <w:pStyle w:val="Heading1"/>
      </w:pPr>
      <w:bookmarkStart w:id="3" w:name="O_641076"/>
      <w:bookmarkEnd w:id="3"/>
      <w:r w:rsidRPr="002D55A6">
        <w:t>Pre-requisite Unit</w:t>
      </w:r>
    </w:p>
    <w:p w:rsidR="00000000" w:rsidRPr="002D55A6" w:rsidP="002D55A6">
      <w:pPr>
        <w:pStyle w:val="Heading1"/>
      </w:pPr>
      <w:bookmarkStart w:id="4" w:name="O_641075"/>
      <w:bookmarkEnd w:id="4"/>
      <w:r w:rsidRPr="002D55A6">
        <w:t>Competency Field</w:t>
      </w:r>
    </w:p>
    <w:p w:rsidR="00000000" w:rsidRPr="002D55A6" w:rsidP="002D55A6">
      <w:pPr>
        <w:pStyle w:val="Heading1"/>
      </w:pPr>
      <w:bookmarkStart w:id="5" w:name="O_641074"/>
      <w:bookmarkEnd w:id="5"/>
      <w:r w:rsidRPr="002D55A6">
        <w:t>Unit Sector</w:t>
      </w:r>
    </w:p>
    <w:p w:rsidR="00000000" w:rsidRPr="002D55A6" w:rsidP="006251FC">
      <w:pPr>
        <w:pStyle w:val="BodyText"/>
      </w:pPr>
      <w:r w:rsidRPr="002D55A6">
        <w:t>Flooring technology</w:t>
      </w:r>
    </w:p>
    <w:p w:rsidR="00000000" w:rsidRPr="002D55A6" w:rsidP="002D55A6">
      <w:pPr>
        <w:pStyle w:val="Heading1"/>
      </w:pPr>
      <w:bookmarkStart w:id="6" w:name="O_641073"/>
      <w:bookmarkEnd w:id="6"/>
      <w:r w:rsidRPr="002D55A6">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2D55A6">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2D55A6">
            <w:pPr>
              <w:pStyle w:val="BodyText"/>
              <w:rPr>
                <w:lang w:val="en-NZ"/>
              </w:rPr>
            </w:pPr>
            <w:r w:rsidRPr="002D55A6">
              <w:t>Elements describe the es</w:t>
            </w:r>
            <w:r w:rsidRPr="002D55A6">
              <w:t>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2D55A6">
            <w:pPr>
              <w:pStyle w:val="BodyText"/>
              <w:rPr>
                <w:lang w:val="en-NZ"/>
              </w:rPr>
            </w:pPr>
            <w:r w:rsidRPr="002D55A6">
              <w:t>Performance criteria describe the performance needed to demonstrate achievement of the element.</w:t>
            </w:r>
          </w:p>
        </w:tc>
      </w:tr>
      <w:tr w:rsidTr="002D55A6">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2D55A6">
            <w:pPr>
              <w:pStyle w:val="BodyText"/>
              <w:rPr>
                <w:lang w:val="en-NZ"/>
              </w:rPr>
            </w:pPr>
            <w:r w:rsidRPr="002D55A6">
              <w:t>1</w:t>
            </w:r>
          </w:p>
        </w:tc>
        <w:tc>
          <w:tcPr>
            <w:tcW w:w="1962" w:type="dxa"/>
            <w:vMerge w:val="restart"/>
            <w:tcBorders>
              <w:top w:val="nil"/>
              <w:left w:val="nil"/>
              <w:bottom w:val="nil"/>
              <w:right w:val="nil"/>
            </w:tcBorders>
            <w:tcMar>
              <w:top w:w="0" w:type="dxa"/>
              <w:left w:w="62" w:type="dxa"/>
              <w:bottom w:w="0" w:type="dxa"/>
              <w:right w:w="62" w:type="dxa"/>
            </w:tcMar>
          </w:tcPr>
          <w:p w:rsidR="00000000" w:rsidP="002D55A6">
            <w:pPr>
              <w:pStyle w:val="BodyText"/>
              <w:rPr>
                <w:lang w:val="en-NZ"/>
              </w:rPr>
            </w:pPr>
            <w:r w:rsidRPr="002D55A6">
              <w:t>Prepare for work</w:t>
            </w:r>
          </w:p>
        </w:tc>
        <w:tc>
          <w:tcPr>
            <w:tcW w:w="770" w:type="dxa"/>
            <w:tcBorders>
              <w:top w:val="nil"/>
              <w:left w:val="nil"/>
              <w:bottom w:val="nil"/>
              <w:right w:val="nil"/>
            </w:tcBorders>
            <w:tcMar>
              <w:top w:w="0" w:type="dxa"/>
              <w:left w:w="62" w:type="dxa"/>
              <w:bottom w:w="0" w:type="dxa"/>
              <w:right w:w="62" w:type="dxa"/>
            </w:tcMar>
          </w:tcPr>
          <w:p w:rsidR="00000000" w:rsidP="002D55A6">
            <w:pPr>
              <w:pStyle w:val="BodyText"/>
              <w:rPr>
                <w:lang w:val="en-NZ"/>
              </w:rPr>
            </w:pPr>
            <w:r w:rsidRPr="002D55A6">
              <w:t>1.1</w:t>
            </w:r>
          </w:p>
        </w:tc>
        <w:tc>
          <w:tcPr>
            <w:tcW w:w="5610" w:type="dxa"/>
            <w:tcBorders>
              <w:top w:val="nil"/>
              <w:left w:val="nil"/>
              <w:bottom w:val="nil"/>
              <w:right w:val="nil"/>
            </w:tcBorders>
            <w:tcMar>
              <w:top w:w="0" w:type="dxa"/>
              <w:left w:w="62" w:type="dxa"/>
              <w:bottom w:w="0" w:type="dxa"/>
              <w:right w:w="62" w:type="dxa"/>
            </w:tcMar>
          </w:tcPr>
          <w:p w:rsidR="00000000" w:rsidP="002D55A6">
            <w:pPr>
              <w:pStyle w:val="BodyText"/>
              <w:rPr>
                <w:lang w:val="en-NZ"/>
              </w:rPr>
            </w:pPr>
            <w:r w:rsidRPr="002D55A6">
              <w:t>Applicable work health and safety (WHS), legislative and organisational requirements relevant to installing impact and sound absorbing underlay are verified and complied with</w:t>
            </w:r>
          </w:p>
        </w:tc>
      </w:tr>
      <w:tr w:rsidTr="002D55A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55A6">
            <w:pPr>
              <w:pStyle w:val="BodyText"/>
              <w:rPr>
                <w:lang w:val="en-NZ"/>
              </w:rPr>
            </w:pPr>
            <w:r w:rsidRPr="002D55A6">
              <w:t>1.2</w:t>
            </w:r>
          </w:p>
        </w:tc>
        <w:tc>
          <w:tcPr>
            <w:tcW w:w="5610" w:type="dxa"/>
            <w:tcBorders>
              <w:top w:val="nil"/>
              <w:left w:val="nil"/>
              <w:bottom w:val="nil"/>
              <w:right w:val="nil"/>
            </w:tcBorders>
            <w:tcMar>
              <w:top w:w="0" w:type="dxa"/>
              <w:left w:w="62" w:type="dxa"/>
              <w:bottom w:w="0" w:type="dxa"/>
              <w:right w:w="62" w:type="dxa"/>
            </w:tcMar>
          </w:tcPr>
          <w:p w:rsidR="00000000" w:rsidP="002D55A6">
            <w:pPr>
              <w:pStyle w:val="BodyText"/>
              <w:rPr>
                <w:lang w:val="en-NZ"/>
              </w:rPr>
            </w:pPr>
            <w:r w:rsidRPr="002D55A6">
              <w:t>Instructions and/or plans are read and interpreted to identify process req</w:t>
            </w:r>
            <w:r w:rsidRPr="002D55A6">
              <w:t>uired to complete work tasks</w:t>
            </w:r>
          </w:p>
        </w:tc>
      </w:tr>
      <w:tr w:rsidTr="002D55A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55A6">
            <w:pPr>
              <w:pStyle w:val="BodyText"/>
              <w:rPr>
                <w:lang w:val="en-NZ"/>
              </w:rPr>
            </w:pPr>
            <w:r w:rsidRPr="002D55A6">
              <w:t>1.3</w:t>
            </w:r>
          </w:p>
        </w:tc>
        <w:tc>
          <w:tcPr>
            <w:tcW w:w="5610" w:type="dxa"/>
            <w:tcBorders>
              <w:top w:val="nil"/>
              <w:left w:val="nil"/>
              <w:bottom w:val="nil"/>
              <w:right w:val="nil"/>
            </w:tcBorders>
            <w:tcMar>
              <w:top w:w="0" w:type="dxa"/>
              <w:left w:w="62" w:type="dxa"/>
              <w:bottom w:w="0" w:type="dxa"/>
              <w:right w:w="62" w:type="dxa"/>
            </w:tcMar>
          </w:tcPr>
          <w:p w:rsidR="00000000" w:rsidP="002D55A6">
            <w:pPr>
              <w:pStyle w:val="BodyText"/>
              <w:rPr>
                <w:lang w:val="en-NZ"/>
              </w:rPr>
            </w:pPr>
            <w:r w:rsidRPr="002D55A6">
              <w:t xml:space="preserve">Sub-floor condition is assessed for suitability for installation of impact and sound absorption underlay for </w:t>
            </w:r>
            <w:r w:rsidRPr="002D55A6">
              <w:t>timber flooring installation</w:t>
            </w:r>
          </w:p>
        </w:tc>
      </w:tr>
      <w:tr w:rsidTr="002D55A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55A6">
            <w:pPr>
              <w:pStyle w:val="BodyText"/>
              <w:rPr>
                <w:lang w:val="en-NZ"/>
              </w:rPr>
            </w:pPr>
            <w:r w:rsidRPr="002D55A6">
              <w:t>1.4</w:t>
            </w:r>
          </w:p>
        </w:tc>
        <w:tc>
          <w:tcPr>
            <w:tcW w:w="5610" w:type="dxa"/>
            <w:tcBorders>
              <w:top w:val="nil"/>
              <w:left w:val="nil"/>
              <w:bottom w:val="nil"/>
              <w:right w:val="nil"/>
            </w:tcBorders>
            <w:tcMar>
              <w:top w:w="0" w:type="dxa"/>
              <w:left w:w="62" w:type="dxa"/>
              <w:bottom w:w="0" w:type="dxa"/>
              <w:right w:w="62" w:type="dxa"/>
            </w:tcMar>
          </w:tcPr>
          <w:p w:rsidR="00000000" w:rsidP="002D55A6">
            <w:pPr>
              <w:pStyle w:val="BodyText"/>
              <w:rPr>
                <w:lang w:val="en-NZ"/>
              </w:rPr>
            </w:pPr>
            <w:r w:rsidRPr="002D55A6">
              <w:t>Suitable adhesives, trims and accessories are selected if required</w:t>
            </w:r>
          </w:p>
        </w:tc>
      </w:tr>
      <w:tr w:rsidTr="002D55A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55A6">
            <w:pPr>
              <w:pStyle w:val="BodyText"/>
              <w:rPr>
                <w:lang w:val="en-NZ"/>
              </w:rPr>
            </w:pPr>
            <w:r w:rsidRPr="002D55A6">
              <w:t>1.5</w:t>
            </w:r>
          </w:p>
        </w:tc>
        <w:tc>
          <w:tcPr>
            <w:tcW w:w="5610" w:type="dxa"/>
            <w:tcBorders>
              <w:top w:val="nil"/>
              <w:left w:val="nil"/>
              <w:bottom w:val="nil"/>
              <w:right w:val="nil"/>
            </w:tcBorders>
            <w:tcMar>
              <w:top w:w="0" w:type="dxa"/>
              <w:left w:w="62" w:type="dxa"/>
              <w:bottom w:w="0" w:type="dxa"/>
              <w:right w:w="62" w:type="dxa"/>
            </w:tcMar>
          </w:tcPr>
          <w:p w:rsidR="00000000" w:rsidP="002D55A6">
            <w:pPr>
              <w:pStyle w:val="BodyText"/>
              <w:rPr>
                <w:lang w:val="en-NZ"/>
              </w:rPr>
            </w:pPr>
            <w:r w:rsidRPr="002D55A6">
              <w:t>Impact and sound absorption underlay is checked against work orders</w:t>
            </w:r>
          </w:p>
        </w:tc>
      </w:tr>
      <w:tr w:rsidTr="002D55A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55A6">
            <w:pPr>
              <w:pStyle w:val="BodyText"/>
              <w:rPr>
                <w:lang w:val="en-NZ"/>
              </w:rPr>
            </w:pPr>
            <w:r w:rsidRPr="002D55A6">
              <w:t>1.6</w:t>
            </w:r>
          </w:p>
        </w:tc>
        <w:tc>
          <w:tcPr>
            <w:tcW w:w="5610" w:type="dxa"/>
            <w:tcBorders>
              <w:top w:val="nil"/>
              <w:left w:val="nil"/>
              <w:bottom w:val="nil"/>
              <w:right w:val="nil"/>
            </w:tcBorders>
            <w:tcMar>
              <w:top w:w="0" w:type="dxa"/>
              <w:left w:w="62" w:type="dxa"/>
              <w:bottom w:w="0" w:type="dxa"/>
              <w:right w:w="62" w:type="dxa"/>
            </w:tcMar>
          </w:tcPr>
          <w:p w:rsidR="00000000" w:rsidP="002D55A6">
            <w:pPr>
              <w:pStyle w:val="BodyText"/>
              <w:rPr>
                <w:lang w:val="en-NZ"/>
              </w:rPr>
            </w:pPr>
            <w:r w:rsidRPr="002D55A6">
              <w:t>Tools, equipment and materials are selected and checked prior to use to ensure that they are appropriate for the work, serviceable and in a safe condition</w:t>
            </w:r>
          </w:p>
        </w:tc>
      </w:tr>
      <w:tr w:rsidTr="002D55A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55A6">
            <w:pPr>
              <w:pStyle w:val="BodyText"/>
              <w:rPr>
                <w:lang w:val="en-NZ"/>
              </w:rPr>
            </w:pPr>
            <w:r w:rsidRPr="002D55A6">
              <w:t>1.7</w:t>
            </w:r>
          </w:p>
        </w:tc>
        <w:tc>
          <w:tcPr>
            <w:tcW w:w="5610" w:type="dxa"/>
            <w:tcBorders>
              <w:top w:val="nil"/>
              <w:left w:val="nil"/>
              <w:bottom w:val="nil"/>
              <w:right w:val="nil"/>
            </w:tcBorders>
            <w:tcMar>
              <w:top w:w="0" w:type="dxa"/>
              <w:left w:w="62" w:type="dxa"/>
              <w:bottom w:w="0" w:type="dxa"/>
              <w:right w:w="62" w:type="dxa"/>
            </w:tcMar>
          </w:tcPr>
          <w:p w:rsidR="00000000" w:rsidP="002D55A6">
            <w:pPr>
              <w:pStyle w:val="BodyText"/>
              <w:rPr>
                <w:lang w:val="en-NZ"/>
              </w:rPr>
            </w:pPr>
            <w:r w:rsidRPr="002D55A6">
              <w:t>Sequence of work is planned, including the starting point, to ensure cutting, laying and fitting is in logical order</w:t>
            </w:r>
          </w:p>
        </w:tc>
      </w:tr>
      <w:tr w:rsidTr="002D55A6">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2D55A6">
            <w:pPr>
              <w:pStyle w:val="BodyText"/>
              <w:rPr>
                <w:lang w:val="en-NZ"/>
              </w:rPr>
            </w:pPr>
            <w:r w:rsidRPr="002D55A6">
              <w:t>2</w:t>
            </w:r>
          </w:p>
        </w:tc>
        <w:tc>
          <w:tcPr>
            <w:tcW w:w="1962" w:type="dxa"/>
            <w:vMerge w:val="restart"/>
            <w:tcBorders>
              <w:top w:val="nil"/>
              <w:left w:val="nil"/>
              <w:bottom w:val="nil"/>
              <w:right w:val="nil"/>
            </w:tcBorders>
            <w:tcMar>
              <w:top w:w="0" w:type="dxa"/>
              <w:left w:w="62" w:type="dxa"/>
              <w:bottom w:w="0" w:type="dxa"/>
              <w:right w:w="62" w:type="dxa"/>
            </w:tcMar>
          </w:tcPr>
          <w:p w:rsidR="00000000" w:rsidP="002D55A6">
            <w:pPr>
              <w:pStyle w:val="BodyText"/>
              <w:rPr>
                <w:lang w:val="en-NZ"/>
              </w:rPr>
            </w:pPr>
            <w:r w:rsidRPr="002D55A6">
              <w:t>Set out materials</w:t>
            </w:r>
          </w:p>
        </w:tc>
        <w:tc>
          <w:tcPr>
            <w:tcW w:w="770" w:type="dxa"/>
            <w:tcBorders>
              <w:top w:val="nil"/>
              <w:left w:val="nil"/>
              <w:bottom w:val="nil"/>
              <w:right w:val="nil"/>
            </w:tcBorders>
            <w:tcMar>
              <w:top w:w="0" w:type="dxa"/>
              <w:left w:w="62" w:type="dxa"/>
              <w:bottom w:w="0" w:type="dxa"/>
              <w:right w:w="62" w:type="dxa"/>
            </w:tcMar>
          </w:tcPr>
          <w:p w:rsidR="00000000" w:rsidP="002D55A6">
            <w:pPr>
              <w:pStyle w:val="BodyText"/>
              <w:rPr>
                <w:lang w:val="en-NZ"/>
              </w:rPr>
            </w:pPr>
            <w:r w:rsidRPr="002D55A6">
              <w:t>2.1</w:t>
            </w:r>
          </w:p>
        </w:tc>
        <w:tc>
          <w:tcPr>
            <w:tcW w:w="5610" w:type="dxa"/>
            <w:tcBorders>
              <w:top w:val="nil"/>
              <w:left w:val="nil"/>
              <w:bottom w:val="nil"/>
              <w:right w:val="nil"/>
            </w:tcBorders>
            <w:tcMar>
              <w:top w:w="0" w:type="dxa"/>
              <w:left w:w="62" w:type="dxa"/>
              <w:bottom w:w="0" w:type="dxa"/>
              <w:right w:w="62" w:type="dxa"/>
            </w:tcMar>
          </w:tcPr>
          <w:p w:rsidR="00000000" w:rsidP="002D55A6">
            <w:pPr>
              <w:pStyle w:val="BodyText"/>
              <w:rPr>
                <w:lang w:val="en-NZ"/>
              </w:rPr>
            </w:pPr>
            <w:r w:rsidRPr="002D55A6">
              <w:t>Impact and sound absorption underlay to be installed is checked against the order</w:t>
            </w:r>
          </w:p>
        </w:tc>
      </w:tr>
      <w:tr w:rsidTr="002D55A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55A6">
            <w:pPr>
              <w:pStyle w:val="BodyText"/>
              <w:rPr>
                <w:lang w:val="en-NZ"/>
              </w:rPr>
            </w:pPr>
            <w:r w:rsidRPr="002D55A6">
              <w:t>2.2</w:t>
            </w:r>
          </w:p>
        </w:tc>
        <w:tc>
          <w:tcPr>
            <w:tcW w:w="5610" w:type="dxa"/>
            <w:tcBorders>
              <w:top w:val="nil"/>
              <w:left w:val="nil"/>
              <w:bottom w:val="nil"/>
              <w:right w:val="nil"/>
            </w:tcBorders>
            <w:tcMar>
              <w:top w:w="0" w:type="dxa"/>
              <w:left w:w="62" w:type="dxa"/>
              <w:bottom w:w="0" w:type="dxa"/>
              <w:right w:w="62" w:type="dxa"/>
            </w:tcMar>
          </w:tcPr>
          <w:p w:rsidR="00000000" w:rsidP="002D55A6">
            <w:pPr>
              <w:pStyle w:val="BodyText"/>
              <w:rPr>
                <w:lang w:val="en-NZ"/>
              </w:rPr>
            </w:pPr>
            <w:r w:rsidRPr="002D55A6">
              <w:t>Impact and sound absorpti</w:t>
            </w:r>
            <w:r w:rsidRPr="002D55A6">
              <w:t>on underlay are acclimatised according to manufacturer recommendations</w:t>
            </w:r>
          </w:p>
        </w:tc>
      </w:tr>
      <w:tr w:rsidTr="002D55A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55A6">
            <w:pPr>
              <w:pStyle w:val="BodyText"/>
              <w:rPr>
                <w:lang w:val="en-NZ"/>
              </w:rPr>
            </w:pPr>
            <w:r w:rsidRPr="002D55A6">
              <w:t>2.3</w:t>
            </w:r>
          </w:p>
        </w:tc>
        <w:tc>
          <w:tcPr>
            <w:tcW w:w="5610" w:type="dxa"/>
            <w:tcBorders>
              <w:top w:val="nil"/>
              <w:left w:val="nil"/>
              <w:bottom w:val="nil"/>
              <w:right w:val="nil"/>
            </w:tcBorders>
            <w:tcMar>
              <w:top w:w="0" w:type="dxa"/>
              <w:left w:w="62" w:type="dxa"/>
              <w:bottom w:w="0" w:type="dxa"/>
              <w:right w:w="62" w:type="dxa"/>
            </w:tcMar>
          </w:tcPr>
          <w:p w:rsidR="00000000" w:rsidP="002D55A6">
            <w:pPr>
              <w:pStyle w:val="BodyText"/>
              <w:rPr>
                <w:lang w:val="en-NZ"/>
              </w:rPr>
            </w:pPr>
            <w:r w:rsidRPr="002D55A6">
              <w:t>Impact and sound absorption underlay for fixing are organised and used in accordance with relevant safety management requirements</w:t>
            </w:r>
          </w:p>
        </w:tc>
      </w:tr>
      <w:tr w:rsidTr="002D55A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55A6">
            <w:pPr>
              <w:pStyle w:val="BodyText"/>
              <w:rPr>
                <w:lang w:val="en-NZ"/>
              </w:rPr>
            </w:pPr>
            <w:r w:rsidRPr="002D55A6">
              <w:t>2.4</w:t>
            </w:r>
          </w:p>
        </w:tc>
        <w:tc>
          <w:tcPr>
            <w:tcW w:w="5610" w:type="dxa"/>
            <w:tcBorders>
              <w:top w:val="nil"/>
              <w:left w:val="nil"/>
              <w:bottom w:val="nil"/>
              <w:right w:val="nil"/>
            </w:tcBorders>
            <w:tcMar>
              <w:top w:w="0" w:type="dxa"/>
              <w:left w:w="62" w:type="dxa"/>
              <w:bottom w:w="0" w:type="dxa"/>
              <w:right w:w="62" w:type="dxa"/>
            </w:tcMar>
          </w:tcPr>
          <w:p w:rsidR="00000000" w:rsidP="002D55A6">
            <w:pPr>
              <w:pStyle w:val="BodyText"/>
              <w:rPr>
                <w:lang w:val="en-NZ"/>
              </w:rPr>
            </w:pPr>
            <w:r w:rsidRPr="002D55A6">
              <w:t>Working lines and starting point are established</w:t>
            </w:r>
          </w:p>
        </w:tc>
      </w:tr>
      <w:tr w:rsidTr="002D55A6">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2D55A6">
            <w:pPr>
              <w:pStyle w:val="BodyText"/>
              <w:rPr>
                <w:lang w:val="en-NZ"/>
              </w:rPr>
            </w:pPr>
            <w:r w:rsidRPr="002D55A6">
              <w:t>3</w:t>
            </w:r>
          </w:p>
        </w:tc>
        <w:tc>
          <w:tcPr>
            <w:tcW w:w="1962" w:type="dxa"/>
            <w:vMerge w:val="restart"/>
            <w:tcBorders>
              <w:top w:val="nil"/>
              <w:left w:val="nil"/>
              <w:bottom w:val="nil"/>
              <w:right w:val="nil"/>
            </w:tcBorders>
            <w:tcMar>
              <w:top w:w="0" w:type="dxa"/>
              <w:left w:w="62" w:type="dxa"/>
              <w:bottom w:w="0" w:type="dxa"/>
              <w:right w:w="62" w:type="dxa"/>
            </w:tcMar>
          </w:tcPr>
          <w:p w:rsidR="00000000" w:rsidP="002D55A6">
            <w:pPr>
              <w:pStyle w:val="BodyText"/>
              <w:rPr>
                <w:lang w:val="en-NZ"/>
              </w:rPr>
            </w:pPr>
            <w:r w:rsidRPr="002D55A6">
              <w:t>Cut impact and sound absorption underlay</w:t>
            </w:r>
          </w:p>
        </w:tc>
        <w:tc>
          <w:tcPr>
            <w:tcW w:w="770" w:type="dxa"/>
            <w:tcBorders>
              <w:top w:val="nil"/>
              <w:left w:val="nil"/>
              <w:bottom w:val="nil"/>
              <w:right w:val="nil"/>
            </w:tcBorders>
            <w:tcMar>
              <w:top w:w="0" w:type="dxa"/>
              <w:left w:w="62" w:type="dxa"/>
              <w:bottom w:w="0" w:type="dxa"/>
              <w:right w:w="62" w:type="dxa"/>
            </w:tcMar>
          </w:tcPr>
          <w:p w:rsidR="00000000" w:rsidP="002D55A6">
            <w:pPr>
              <w:pStyle w:val="BodyText"/>
              <w:rPr>
                <w:lang w:val="en-NZ"/>
              </w:rPr>
            </w:pPr>
            <w:r w:rsidRPr="002D55A6">
              <w:t>3.1</w:t>
            </w:r>
          </w:p>
        </w:tc>
        <w:tc>
          <w:tcPr>
            <w:tcW w:w="5610" w:type="dxa"/>
            <w:tcBorders>
              <w:top w:val="nil"/>
              <w:left w:val="nil"/>
              <w:bottom w:val="nil"/>
              <w:right w:val="nil"/>
            </w:tcBorders>
            <w:tcMar>
              <w:top w:w="0" w:type="dxa"/>
              <w:left w:w="62" w:type="dxa"/>
              <w:bottom w:w="0" w:type="dxa"/>
              <w:right w:w="62" w:type="dxa"/>
            </w:tcMar>
          </w:tcPr>
          <w:p w:rsidR="00000000" w:rsidP="002D55A6">
            <w:pPr>
              <w:pStyle w:val="BodyText"/>
              <w:rPr>
                <w:lang w:val="en-NZ"/>
              </w:rPr>
            </w:pPr>
            <w:r w:rsidRPr="002D55A6">
              <w:t>Instructions and sequence for laying and fixing are followed</w:t>
            </w:r>
          </w:p>
        </w:tc>
      </w:tr>
      <w:tr w:rsidTr="002D55A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55A6">
            <w:pPr>
              <w:pStyle w:val="BodyText"/>
              <w:rPr>
                <w:lang w:val="en-NZ"/>
              </w:rPr>
            </w:pPr>
            <w:r w:rsidRPr="002D55A6">
              <w:t>3.2</w:t>
            </w:r>
          </w:p>
        </w:tc>
        <w:tc>
          <w:tcPr>
            <w:tcW w:w="5610" w:type="dxa"/>
            <w:tcBorders>
              <w:top w:val="nil"/>
              <w:left w:val="nil"/>
              <w:bottom w:val="nil"/>
              <w:right w:val="nil"/>
            </w:tcBorders>
            <w:tcMar>
              <w:top w:w="0" w:type="dxa"/>
              <w:left w:w="62" w:type="dxa"/>
              <w:bottom w:w="0" w:type="dxa"/>
              <w:right w:w="62" w:type="dxa"/>
            </w:tcMar>
          </w:tcPr>
          <w:p w:rsidR="00000000" w:rsidP="002D55A6">
            <w:pPr>
              <w:pStyle w:val="BodyText"/>
              <w:rPr>
                <w:lang w:val="en-NZ"/>
              </w:rPr>
            </w:pPr>
            <w:r w:rsidRPr="002D55A6">
              <w:t>Impact and sound absorption underlay is laid out to meet directional sequence, specification requirements and to minimise waste and joins as appropriate</w:t>
            </w:r>
          </w:p>
        </w:tc>
      </w:tr>
      <w:tr w:rsidTr="002D55A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55A6">
            <w:pPr>
              <w:pStyle w:val="BodyText"/>
              <w:rPr>
                <w:lang w:val="en-NZ"/>
              </w:rPr>
            </w:pPr>
            <w:r w:rsidRPr="002D55A6">
              <w:t>3.3</w:t>
            </w:r>
          </w:p>
        </w:tc>
        <w:tc>
          <w:tcPr>
            <w:tcW w:w="5610" w:type="dxa"/>
            <w:tcBorders>
              <w:top w:val="nil"/>
              <w:left w:val="nil"/>
              <w:bottom w:val="nil"/>
              <w:right w:val="nil"/>
            </w:tcBorders>
            <w:tcMar>
              <w:top w:w="0" w:type="dxa"/>
              <w:left w:w="62" w:type="dxa"/>
              <w:bottom w:w="0" w:type="dxa"/>
              <w:right w:w="62" w:type="dxa"/>
            </w:tcMar>
          </w:tcPr>
          <w:p w:rsidR="00000000" w:rsidP="002D55A6">
            <w:pPr>
              <w:pStyle w:val="BodyText"/>
              <w:rPr>
                <w:lang w:val="en-NZ"/>
              </w:rPr>
            </w:pPr>
            <w:r w:rsidRPr="002D55A6">
              <w:t>Impact and sound absorption underlay is cut to required shape with minimum waste of materials</w:t>
            </w:r>
          </w:p>
        </w:tc>
      </w:tr>
      <w:tr w:rsidTr="002D55A6">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2D55A6">
            <w:pPr>
              <w:pStyle w:val="BodyText"/>
              <w:rPr>
                <w:lang w:val="en-NZ"/>
              </w:rPr>
            </w:pPr>
            <w:r w:rsidRPr="002D55A6">
              <w:t>4</w:t>
            </w:r>
          </w:p>
        </w:tc>
        <w:tc>
          <w:tcPr>
            <w:tcW w:w="1962" w:type="dxa"/>
            <w:vMerge w:val="restart"/>
            <w:tcBorders>
              <w:top w:val="nil"/>
              <w:left w:val="nil"/>
              <w:bottom w:val="nil"/>
              <w:right w:val="nil"/>
            </w:tcBorders>
            <w:tcMar>
              <w:top w:w="0" w:type="dxa"/>
              <w:left w:w="62" w:type="dxa"/>
              <w:bottom w:w="0" w:type="dxa"/>
              <w:right w:w="62" w:type="dxa"/>
            </w:tcMar>
          </w:tcPr>
          <w:p w:rsidR="00000000" w:rsidP="002D55A6">
            <w:pPr>
              <w:pStyle w:val="BodyText"/>
              <w:rPr>
                <w:lang w:val="en-NZ"/>
              </w:rPr>
            </w:pPr>
            <w:r w:rsidRPr="002D55A6">
              <w:t>Lay impact and sound absorption underlay</w:t>
            </w:r>
          </w:p>
        </w:tc>
        <w:tc>
          <w:tcPr>
            <w:tcW w:w="770" w:type="dxa"/>
            <w:tcBorders>
              <w:top w:val="nil"/>
              <w:left w:val="nil"/>
              <w:bottom w:val="nil"/>
              <w:right w:val="nil"/>
            </w:tcBorders>
            <w:tcMar>
              <w:top w:w="0" w:type="dxa"/>
              <w:left w:w="62" w:type="dxa"/>
              <w:bottom w:w="0" w:type="dxa"/>
              <w:right w:w="62" w:type="dxa"/>
            </w:tcMar>
          </w:tcPr>
          <w:p w:rsidR="00000000" w:rsidP="002D55A6">
            <w:pPr>
              <w:pStyle w:val="BodyText"/>
              <w:rPr>
                <w:lang w:val="en-NZ"/>
              </w:rPr>
            </w:pPr>
            <w:r w:rsidRPr="002D55A6">
              <w:t>4.1</w:t>
            </w:r>
          </w:p>
        </w:tc>
        <w:tc>
          <w:tcPr>
            <w:tcW w:w="5610" w:type="dxa"/>
            <w:tcBorders>
              <w:top w:val="nil"/>
              <w:left w:val="nil"/>
              <w:bottom w:val="nil"/>
              <w:right w:val="nil"/>
            </w:tcBorders>
            <w:tcMar>
              <w:top w:w="0" w:type="dxa"/>
              <w:left w:w="62" w:type="dxa"/>
              <w:bottom w:w="0" w:type="dxa"/>
              <w:right w:w="62" w:type="dxa"/>
            </w:tcMar>
          </w:tcPr>
          <w:p w:rsidR="00000000" w:rsidP="002D55A6">
            <w:pPr>
              <w:pStyle w:val="BodyText"/>
              <w:rPr>
                <w:lang w:val="en-NZ"/>
              </w:rPr>
            </w:pPr>
            <w:r w:rsidRPr="002D55A6">
              <w:t>Materials for fixing are organised and used in accordance with relevant safety management requirements</w:t>
            </w:r>
          </w:p>
        </w:tc>
      </w:tr>
      <w:tr w:rsidTr="002D55A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55A6">
            <w:pPr>
              <w:pStyle w:val="BodyText"/>
              <w:rPr>
                <w:lang w:val="en-NZ"/>
              </w:rPr>
            </w:pPr>
            <w:r w:rsidRPr="002D55A6">
              <w:t>4.2</w:t>
            </w:r>
          </w:p>
        </w:tc>
        <w:tc>
          <w:tcPr>
            <w:tcW w:w="5610" w:type="dxa"/>
            <w:tcBorders>
              <w:top w:val="nil"/>
              <w:left w:val="nil"/>
              <w:bottom w:val="nil"/>
              <w:right w:val="nil"/>
            </w:tcBorders>
            <w:tcMar>
              <w:top w:w="0" w:type="dxa"/>
              <w:left w:w="62" w:type="dxa"/>
              <w:bottom w:w="0" w:type="dxa"/>
              <w:right w:w="62" w:type="dxa"/>
            </w:tcMar>
          </w:tcPr>
          <w:p w:rsidR="00000000" w:rsidP="002D55A6">
            <w:pPr>
              <w:pStyle w:val="BodyText"/>
              <w:rPr>
                <w:lang w:val="en-NZ"/>
              </w:rPr>
            </w:pPr>
            <w:r w:rsidRPr="002D55A6">
              <w:t>Adhesives and edge strips/accessories are prepared for use as required</w:t>
            </w:r>
          </w:p>
        </w:tc>
      </w:tr>
      <w:tr w:rsidTr="002D55A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55A6">
            <w:pPr>
              <w:pStyle w:val="BodyText"/>
              <w:rPr>
                <w:lang w:val="en-NZ"/>
              </w:rPr>
            </w:pPr>
            <w:r w:rsidRPr="002D55A6">
              <w:t>4.3</w:t>
            </w:r>
          </w:p>
        </w:tc>
        <w:tc>
          <w:tcPr>
            <w:tcW w:w="5610" w:type="dxa"/>
            <w:tcBorders>
              <w:top w:val="nil"/>
              <w:left w:val="nil"/>
              <w:bottom w:val="nil"/>
              <w:right w:val="nil"/>
            </w:tcBorders>
            <w:tcMar>
              <w:top w:w="0" w:type="dxa"/>
              <w:left w:w="62" w:type="dxa"/>
              <w:bottom w:w="0" w:type="dxa"/>
              <w:right w:w="62" w:type="dxa"/>
            </w:tcMar>
          </w:tcPr>
          <w:p w:rsidR="00000000" w:rsidP="002D55A6">
            <w:pPr>
              <w:pStyle w:val="BodyText"/>
              <w:rPr>
                <w:lang w:val="en-NZ"/>
              </w:rPr>
            </w:pPr>
            <w:r w:rsidRPr="002D55A6">
              <w:t>Adhesive is applied to sub-floor, if required</w:t>
            </w:r>
          </w:p>
        </w:tc>
      </w:tr>
      <w:tr w:rsidTr="002D55A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55A6">
            <w:pPr>
              <w:pStyle w:val="BodyText"/>
              <w:rPr>
                <w:lang w:val="en-NZ"/>
              </w:rPr>
            </w:pPr>
            <w:r w:rsidRPr="002D55A6">
              <w:t>4.4</w:t>
            </w:r>
          </w:p>
        </w:tc>
        <w:tc>
          <w:tcPr>
            <w:tcW w:w="5610" w:type="dxa"/>
            <w:tcBorders>
              <w:top w:val="nil"/>
              <w:left w:val="nil"/>
              <w:bottom w:val="nil"/>
              <w:right w:val="nil"/>
            </w:tcBorders>
            <w:tcMar>
              <w:top w:w="0" w:type="dxa"/>
              <w:left w:w="62" w:type="dxa"/>
              <w:bottom w:w="0" w:type="dxa"/>
              <w:right w:w="62" w:type="dxa"/>
            </w:tcMar>
          </w:tcPr>
          <w:p w:rsidR="00000000" w:rsidP="002D55A6">
            <w:pPr>
              <w:pStyle w:val="BodyText"/>
              <w:rPr>
                <w:lang w:val="en-NZ"/>
              </w:rPr>
            </w:pPr>
            <w:r w:rsidRPr="002D55A6">
              <w:t>Impact and sound absorption underlay is fixed using methods and equipment which follow manufacturer instructions</w:t>
            </w:r>
          </w:p>
        </w:tc>
      </w:tr>
      <w:tr w:rsidTr="002D55A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55A6">
            <w:pPr>
              <w:pStyle w:val="BodyText"/>
              <w:rPr>
                <w:lang w:val="en-NZ"/>
              </w:rPr>
            </w:pPr>
            <w:r w:rsidRPr="002D55A6">
              <w:t>4.5</w:t>
            </w:r>
          </w:p>
        </w:tc>
        <w:tc>
          <w:tcPr>
            <w:tcW w:w="5610" w:type="dxa"/>
            <w:tcBorders>
              <w:top w:val="nil"/>
              <w:left w:val="nil"/>
              <w:bottom w:val="nil"/>
              <w:right w:val="nil"/>
            </w:tcBorders>
            <w:tcMar>
              <w:top w:w="0" w:type="dxa"/>
              <w:left w:w="62" w:type="dxa"/>
              <w:bottom w:w="0" w:type="dxa"/>
              <w:right w:w="62" w:type="dxa"/>
            </w:tcMar>
          </w:tcPr>
          <w:p w:rsidR="00000000" w:rsidP="002D55A6">
            <w:pPr>
              <w:pStyle w:val="BodyText"/>
              <w:rPr>
                <w:lang w:val="en-NZ"/>
              </w:rPr>
            </w:pPr>
            <w:r w:rsidRPr="002D55A6">
              <w:t>Completed installation is checked for flaws in installation and materials and faults rectified following workplace procedures</w:t>
            </w:r>
          </w:p>
        </w:tc>
      </w:tr>
      <w:tr w:rsidTr="002D55A6">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2D55A6">
            <w:pPr>
              <w:pStyle w:val="BodyText"/>
              <w:rPr>
                <w:lang w:val="en-NZ"/>
              </w:rPr>
            </w:pPr>
            <w:r w:rsidRPr="002D55A6">
              <w:t>5</w:t>
            </w:r>
          </w:p>
        </w:tc>
        <w:tc>
          <w:tcPr>
            <w:tcW w:w="1962" w:type="dxa"/>
            <w:vMerge w:val="restart"/>
            <w:tcBorders>
              <w:top w:val="nil"/>
              <w:left w:val="nil"/>
              <w:bottom w:val="nil"/>
              <w:right w:val="nil"/>
            </w:tcBorders>
            <w:tcMar>
              <w:top w:w="0" w:type="dxa"/>
              <w:left w:w="62" w:type="dxa"/>
              <w:bottom w:w="0" w:type="dxa"/>
              <w:right w:w="62" w:type="dxa"/>
            </w:tcMar>
          </w:tcPr>
          <w:p w:rsidR="00000000" w:rsidP="002D55A6">
            <w:pPr>
              <w:pStyle w:val="BodyText"/>
              <w:rPr>
                <w:lang w:val="en-NZ"/>
              </w:rPr>
            </w:pPr>
            <w:r w:rsidRPr="002D55A6">
              <w:t>Complete housekeeping</w:t>
            </w:r>
          </w:p>
        </w:tc>
        <w:tc>
          <w:tcPr>
            <w:tcW w:w="770" w:type="dxa"/>
            <w:tcBorders>
              <w:top w:val="nil"/>
              <w:left w:val="nil"/>
              <w:bottom w:val="nil"/>
              <w:right w:val="nil"/>
            </w:tcBorders>
            <w:tcMar>
              <w:top w:w="0" w:type="dxa"/>
              <w:left w:w="62" w:type="dxa"/>
              <w:bottom w:w="0" w:type="dxa"/>
              <w:right w:w="62" w:type="dxa"/>
            </w:tcMar>
          </w:tcPr>
          <w:p w:rsidR="00000000" w:rsidP="002D55A6">
            <w:pPr>
              <w:pStyle w:val="BodyText"/>
              <w:rPr>
                <w:lang w:val="en-NZ"/>
              </w:rPr>
            </w:pPr>
            <w:r w:rsidRPr="002D55A6">
              <w:t>5.1</w:t>
            </w:r>
          </w:p>
        </w:tc>
        <w:tc>
          <w:tcPr>
            <w:tcW w:w="5610" w:type="dxa"/>
            <w:tcBorders>
              <w:top w:val="nil"/>
              <w:left w:val="nil"/>
              <w:bottom w:val="nil"/>
              <w:right w:val="nil"/>
            </w:tcBorders>
            <w:tcMar>
              <w:top w:w="0" w:type="dxa"/>
              <w:left w:w="62" w:type="dxa"/>
              <w:bottom w:w="0" w:type="dxa"/>
              <w:right w:w="62" w:type="dxa"/>
            </w:tcMar>
          </w:tcPr>
          <w:p w:rsidR="00000000" w:rsidP="002D55A6">
            <w:pPr>
              <w:pStyle w:val="BodyText"/>
              <w:rPr>
                <w:lang w:val="en-NZ"/>
              </w:rPr>
            </w:pPr>
            <w:r w:rsidRPr="002D55A6">
              <w:t>Unused materials are stored or recycled as required</w:t>
            </w:r>
          </w:p>
        </w:tc>
      </w:tr>
      <w:tr w:rsidTr="002D55A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55A6">
            <w:pPr>
              <w:pStyle w:val="BodyText"/>
              <w:rPr>
                <w:lang w:val="en-NZ"/>
              </w:rPr>
            </w:pPr>
            <w:r w:rsidRPr="002D55A6">
              <w:t>5.2</w:t>
            </w:r>
          </w:p>
        </w:tc>
        <w:tc>
          <w:tcPr>
            <w:tcW w:w="5610" w:type="dxa"/>
            <w:tcBorders>
              <w:top w:val="nil"/>
              <w:left w:val="nil"/>
              <w:bottom w:val="nil"/>
              <w:right w:val="nil"/>
            </w:tcBorders>
            <w:tcMar>
              <w:top w:w="0" w:type="dxa"/>
              <w:left w:w="62" w:type="dxa"/>
              <w:bottom w:w="0" w:type="dxa"/>
              <w:right w:w="62" w:type="dxa"/>
            </w:tcMar>
          </w:tcPr>
          <w:p w:rsidR="00000000" w:rsidP="002D55A6">
            <w:pPr>
              <w:pStyle w:val="BodyText"/>
              <w:rPr>
                <w:lang w:val="en-NZ"/>
              </w:rPr>
            </w:pPr>
            <w:r w:rsidRPr="002D55A6">
              <w:t>Tools and equipment are cleaned and stored appropriately</w:t>
            </w:r>
          </w:p>
        </w:tc>
      </w:tr>
      <w:tr w:rsidTr="002D55A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55A6">
            <w:pPr>
              <w:pStyle w:val="BodyText"/>
              <w:rPr>
                <w:lang w:val="en-NZ"/>
              </w:rPr>
            </w:pPr>
            <w:r w:rsidRPr="002D55A6">
              <w:t>5.3</w:t>
            </w:r>
          </w:p>
        </w:tc>
        <w:tc>
          <w:tcPr>
            <w:tcW w:w="5610" w:type="dxa"/>
            <w:tcBorders>
              <w:top w:val="nil"/>
              <w:left w:val="nil"/>
              <w:bottom w:val="nil"/>
              <w:right w:val="nil"/>
            </w:tcBorders>
            <w:tcMar>
              <w:top w:w="0" w:type="dxa"/>
              <w:left w:w="62" w:type="dxa"/>
              <w:bottom w:w="0" w:type="dxa"/>
              <w:right w:w="62" w:type="dxa"/>
            </w:tcMar>
          </w:tcPr>
          <w:p w:rsidR="00000000" w:rsidP="002D55A6">
            <w:pPr>
              <w:pStyle w:val="BodyText"/>
              <w:rPr>
                <w:lang w:val="en-NZ"/>
              </w:rPr>
            </w:pPr>
            <w:r w:rsidRPr="002D55A6">
              <w:t>Work area is cleaned and rubbish disposed of appropriately</w:t>
            </w:r>
          </w:p>
        </w:tc>
      </w:tr>
      <w:tr w:rsidTr="002D55A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55A6">
            <w:pPr>
              <w:pStyle w:val="BodyText"/>
              <w:rPr>
                <w:lang w:val="en-NZ"/>
              </w:rPr>
            </w:pPr>
            <w:r w:rsidRPr="002D55A6">
              <w:t>5.4</w:t>
            </w:r>
          </w:p>
        </w:tc>
        <w:tc>
          <w:tcPr>
            <w:tcW w:w="5610" w:type="dxa"/>
            <w:tcBorders>
              <w:top w:val="nil"/>
              <w:left w:val="nil"/>
              <w:bottom w:val="nil"/>
              <w:right w:val="nil"/>
            </w:tcBorders>
            <w:tcMar>
              <w:top w:w="0" w:type="dxa"/>
              <w:left w:w="62" w:type="dxa"/>
              <w:bottom w:w="0" w:type="dxa"/>
              <w:right w:w="62" w:type="dxa"/>
            </w:tcMar>
          </w:tcPr>
          <w:p w:rsidR="00000000" w:rsidRPr="002D55A6" w:rsidP="002D55A6">
            <w:pPr>
              <w:pStyle w:val="BodyText"/>
            </w:pPr>
            <w:r w:rsidRPr="002D55A6">
              <w:t>Workplace documentation is completed</w:t>
            </w:r>
          </w:p>
        </w:tc>
      </w:tr>
    </w:tbl>
    <w:p w:rsidR="00000000" w:rsidRPr="002D55A6" w:rsidP="002D55A6">
      <w:pPr>
        <w:pStyle w:val="BodyText"/>
      </w:pPr>
    </w:p>
    <w:p w:rsidR="00000000" w:rsidRPr="002D55A6" w:rsidP="002D55A6">
      <w:pPr>
        <w:pStyle w:val="AllowPageBreak"/>
      </w:pPr>
    </w:p>
    <w:p w:rsidR="00000000" w:rsidRPr="002D55A6" w:rsidP="002D55A6">
      <w:pPr>
        <w:pStyle w:val="Heading1"/>
      </w:pPr>
      <w:bookmarkStart w:id="7" w:name="O_641072"/>
      <w:bookmarkEnd w:id="7"/>
      <w:r w:rsidRPr="002D55A6">
        <w:t>Foundation Skills</w:t>
      </w:r>
    </w:p>
    <w:p w:rsidR="006251FC" w:rsidP="006251FC">
      <w:pPr>
        <w:pStyle w:val="BodyText"/>
      </w:pPr>
      <w:r w:rsidRPr="002D55A6">
        <w:t>Foundation skills essential to performance are expli</w:t>
      </w:r>
      <w:r w:rsidRPr="002D55A6">
        <w:t>cit in the performance criteria of this unit of competency. Detail on appropriate performance levels for each furnishing unit of competency in reading, writing, oral communication and numeracy utilising the Australian Core Skills Framework (ACSF) are provi</w:t>
      </w:r>
      <w:r w:rsidRPr="002D55A6">
        <w:t xml:space="preserve">ded in the Furnishing Training Package Implementation Guide. </w:t>
      </w:r>
    </w:p>
    <w:p w:rsidR="00000000" w:rsidRPr="002D55A6" w:rsidP="002D55A6">
      <w:pPr>
        <w:pStyle w:val="Heading1"/>
      </w:pPr>
      <w:bookmarkStart w:id="8" w:name="O_641071"/>
      <w:bookmarkEnd w:id="8"/>
      <w:r w:rsidRPr="002D55A6">
        <w:t>Range of Conditions</w:t>
      </w:r>
    </w:p>
    <w:tbl>
      <w:tblPr>
        <w:tblW w:w="0" w:type="auto"/>
        <w:tblLayout w:type="fixed"/>
        <w:tblCellMar>
          <w:left w:w="62" w:type="dxa"/>
          <w:right w:w="62" w:type="dxa"/>
        </w:tblCellMar>
        <w:tblLook w:val="0000"/>
      </w:tblPr>
      <w:tblGrid>
        <w:gridCol w:w="2760"/>
        <w:gridCol w:w="6312"/>
      </w:tblGrid>
      <w:tr w:rsidTr="002D55A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D55A6">
            <w:pPr>
              <w:pStyle w:val="BodyText"/>
              <w:rPr>
                <w:lang w:val="en-NZ"/>
              </w:rPr>
            </w:pPr>
            <w:r w:rsidRPr="002D55A6">
              <w:t xml:space="preserve">Specifies different work environments and conditions that may affect performance. Essential operating conditions that may be present (depending on the work </w:t>
            </w:r>
            <w:r w:rsidRPr="002D55A6">
              <w:t>situation, needs of the candidate, accessibility of the item, and local industry and regional contexts) are included. Range is restricted to essential operating conditions and any other variables essential to the work environment.</w:t>
            </w:r>
          </w:p>
        </w:tc>
      </w:tr>
      <w:tr w:rsidTr="002D55A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D55A6">
            <w:pPr>
              <w:pStyle w:val="BodyText"/>
              <w:rPr>
                <w:lang w:val="en-NZ"/>
              </w:rPr>
            </w:pPr>
            <w:r w:rsidRPr="002D55A6">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2D55A6" w:rsidP="002D55A6">
            <w:pPr>
              <w:pStyle w:val="ListBullet"/>
            </w:pPr>
            <w:r w:rsidRPr="002D55A6">
              <w:t xml:space="preserve">WHS requirements, including legislation, building codes, material safety management systems, hazardous and dangerous goods codes, and local safe operating procedures or equivalent </w:t>
            </w:r>
          </w:p>
          <w:p w:rsidR="00000000" w:rsidRPr="002D55A6" w:rsidP="002D55A6">
            <w:pPr>
              <w:pStyle w:val="ListBullet"/>
            </w:pPr>
            <w:r w:rsidRPr="002D55A6">
              <w:t>work is carried out in accordance with legislative obligations, environmen</w:t>
            </w:r>
            <w:r w:rsidRPr="002D55A6">
              <w:t xml:space="preserve">tal legislation, relevant health regulations, manual handling procedures and organisation insurance requirements </w:t>
            </w:r>
          </w:p>
          <w:p w:rsidR="00000000" w:rsidP="002D55A6">
            <w:pPr>
              <w:pStyle w:val="ListBullet"/>
              <w:rPr>
                <w:lang w:val="en-NZ"/>
              </w:rPr>
            </w:pPr>
            <w:r w:rsidRPr="002D55A6">
              <w:t xml:space="preserve">work requires individual to demonstrate some discretion, judgement and problem solving </w:t>
            </w:r>
          </w:p>
        </w:tc>
      </w:tr>
      <w:tr w:rsidTr="002D55A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D55A6">
            <w:pPr>
              <w:pStyle w:val="BodyText"/>
              <w:rPr>
                <w:lang w:val="en-NZ"/>
              </w:rPr>
            </w:pPr>
            <w:r w:rsidRPr="002D55A6">
              <w:rPr>
                <w:rStyle w:val="SpecialBold"/>
              </w:rPr>
              <w:t>Impact and sound absorption underlays include:</w:t>
            </w:r>
          </w:p>
        </w:tc>
        <w:tc>
          <w:tcPr>
            <w:tcW w:w="6312" w:type="dxa"/>
            <w:tcBorders>
              <w:top w:val="nil"/>
              <w:left w:val="nil"/>
              <w:bottom w:val="nil"/>
              <w:right w:val="nil"/>
            </w:tcBorders>
            <w:tcMar>
              <w:top w:w="0" w:type="dxa"/>
              <w:left w:w="62" w:type="dxa"/>
              <w:bottom w:w="0" w:type="dxa"/>
              <w:right w:w="62" w:type="dxa"/>
            </w:tcMar>
          </w:tcPr>
          <w:p w:rsidR="00000000" w:rsidRPr="002D55A6" w:rsidP="002D55A6">
            <w:pPr>
              <w:pStyle w:val="ListBullet"/>
            </w:pPr>
            <w:r w:rsidRPr="002D55A6">
              <w:t>single fibre</w:t>
            </w:r>
          </w:p>
          <w:p w:rsidR="00000000" w:rsidRPr="002D55A6" w:rsidP="002D55A6">
            <w:pPr>
              <w:pStyle w:val="ListBullet"/>
            </w:pPr>
            <w:r w:rsidRPr="002D55A6">
              <w:t>composite fibre</w:t>
            </w:r>
          </w:p>
          <w:p w:rsidR="00000000" w:rsidRPr="002D55A6" w:rsidP="002D55A6">
            <w:pPr>
              <w:pStyle w:val="ListBullet"/>
            </w:pPr>
            <w:r w:rsidRPr="002D55A6">
              <w:t xml:space="preserve">bonded foam </w:t>
            </w:r>
          </w:p>
          <w:p w:rsidR="00000000" w:rsidP="002D55A6">
            <w:pPr>
              <w:pStyle w:val="ListBullet"/>
              <w:rPr>
                <w:lang w:val="en-NZ"/>
              </w:rPr>
            </w:pPr>
            <w:r w:rsidRPr="002D55A6">
              <w:t xml:space="preserve">recycled rubber </w:t>
            </w:r>
          </w:p>
        </w:tc>
      </w:tr>
      <w:tr w:rsidTr="002D55A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D55A6">
            <w:pPr>
              <w:pStyle w:val="BodyText"/>
              <w:rPr>
                <w:lang w:val="en-NZ"/>
              </w:rPr>
            </w:pPr>
            <w:r w:rsidRPr="002D55A6">
              <w:rPr>
                <w:rStyle w:val="SpecialBold"/>
              </w:rPr>
              <w:t>Adhesives include:</w:t>
            </w:r>
          </w:p>
        </w:tc>
        <w:tc>
          <w:tcPr>
            <w:tcW w:w="6312" w:type="dxa"/>
            <w:tcBorders>
              <w:top w:val="nil"/>
              <w:left w:val="nil"/>
              <w:bottom w:val="nil"/>
              <w:right w:val="nil"/>
            </w:tcBorders>
            <w:tcMar>
              <w:top w:w="0" w:type="dxa"/>
              <w:left w:w="62" w:type="dxa"/>
              <w:bottom w:w="0" w:type="dxa"/>
              <w:right w:w="62" w:type="dxa"/>
            </w:tcMar>
          </w:tcPr>
          <w:p w:rsidR="00000000" w:rsidRPr="002D55A6" w:rsidP="002D55A6">
            <w:pPr>
              <w:pStyle w:val="ListBullet"/>
            </w:pPr>
            <w:r w:rsidRPr="002D55A6">
              <w:t>solvent and water-based contact</w:t>
            </w:r>
          </w:p>
          <w:p w:rsidR="00000000" w:rsidP="002D55A6">
            <w:pPr>
              <w:pStyle w:val="ListBullet"/>
              <w:rPr>
                <w:lang w:val="en-NZ"/>
              </w:rPr>
            </w:pPr>
            <w:r w:rsidRPr="002D55A6">
              <w:t>acrylic or polyurethane elastomeric</w:t>
            </w:r>
          </w:p>
        </w:tc>
      </w:tr>
      <w:tr w:rsidTr="002D55A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D55A6">
            <w:pPr>
              <w:pStyle w:val="BodyText"/>
              <w:rPr>
                <w:lang w:val="en-NZ"/>
              </w:rPr>
            </w:pPr>
            <w:r w:rsidRPr="002D55A6">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2D55A6" w:rsidP="002D55A6">
            <w:pPr>
              <w:pStyle w:val="ListBullet"/>
            </w:pPr>
            <w:r w:rsidRPr="002D55A6">
              <w:t>utility knife</w:t>
            </w:r>
          </w:p>
          <w:p w:rsidR="00000000" w:rsidRPr="002D55A6" w:rsidP="002D55A6">
            <w:pPr>
              <w:pStyle w:val="ListBullet"/>
            </w:pPr>
            <w:r w:rsidRPr="002D55A6">
              <w:t>straight edge</w:t>
            </w:r>
          </w:p>
          <w:p w:rsidR="00000000" w:rsidRPr="002D55A6" w:rsidP="002D55A6">
            <w:pPr>
              <w:pStyle w:val="ListBullet"/>
            </w:pPr>
            <w:r w:rsidRPr="002D55A6">
              <w:t>chalk-line,</w:t>
            </w:r>
          </w:p>
          <w:p w:rsidR="00000000" w:rsidRPr="002D55A6" w:rsidP="002D55A6">
            <w:pPr>
              <w:pStyle w:val="ListBullet"/>
            </w:pPr>
            <w:r w:rsidRPr="002D55A6">
              <w:t>hammer</w:t>
            </w:r>
          </w:p>
          <w:p w:rsidR="00000000" w:rsidRPr="002D55A6" w:rsidP="002D55A6">
            <w:pPr>
              <w:pStyle w:val="ListBullet"/>
            </w:pPr>
            <w:r w:rsidRPr="002D55A6">
              <w:t>heavy-duty electrical drill</w:t>
            </w:r>
          </w:p>
          <w:p w:rsidR="00000000" w:rsidRPr="002D55A6" w:rsidP="002D55A6">
            <w:pPr>
              <w:pStyle w:val="ListBullet"/>
            </w:pPr>
            <w:r w:rsidRPr="002D55A6">
              <w:t xml:space="preserve">hacksaw </w:t>
            </w:r>
          </w:p>
          <w:p w:rsidR="00000000" w:rsidP="002D55A6">
            <w:pPr>
              <w:pStyle w:val="ListBullet"/>
              <w:rPr>
                <w:lang w:val="en-NZ"/>
              </w:rPr>
            </w:pPr>
            <w:r w:rsidRPr="002D55A6">
              <w:t>notched trowel</w:t>
            </w:r>
          </w:p>
        </w:tc>
      </w:tr>
      <w:tr w:rsidTr="002D55A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D55A6">
            <w:pPr>
              <w:pStyle w:val="BodyText"/>
              <w:rPr>
                <w:lang w:val="en-NZ"/>
              </w:rPr>
            </w:pPr>
            <w:r w:rsidRPr="002D55A6">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2D55A6" w:rsidP="002D55A6">
            <w:pPr>
              <w:pStyle w:val="ListBullet"/>
            </w:pPr>
            <w:r w:rsidRPr="002D55A6">
              <w:t xml:space="preserve">impact and sound absorption underlay </w:t>
            </w:r>
          </w:p>
          <w:p w:rsidR="00000000" w:rsidRPr="002D55A6" w:rsidP="002D55A6">
            <w:pPr>
              <w:pStyle w:val="ListBullet"/>
            </w:pPr>
            <w:r w:rsidRPr="002D55A6">
              <w:t>PVC tapes</w:t>
            </w:r>
          </w:p>
          <w:p w:rsidR="00000000" w:rsidRPr="002D55A6" w:rsidP="002D55A6">
            <w:pPr>
              <w:pStyle w:val="ListBullet"/>
            </w:pPr>
            <w:r w:rsidRPr="002D55A6">
              <w:t xml:space="preserve">adhesives </w:t>
            </w:r>
          </w:p>
          <w:p w:rsidR="00000000" w:rsidRPr="002D55A6" w:rsidP="002D55A6">
            <w:pPr>
              <w:pStyle w:val="ListBullet"/>
            </w:pPr>
            <w:r w:rsidRPr="002D55A6">
              <w:t xml:space="preserve">nails </w:t>
            </w:r>
          </w:p>
          <w:p w:rsidR="00000000" w:rsidRPr="002D55A6" w:rsidP="002D55A6">
            <w:pPr>
              <w:pStyle w:val="ListBullet"/>
            </w:pPr>
            <w:r w:rsidRPr="002D55A6">
              <w:t xml:space="preserve">plugs </w:t>
            </w:r>
          </w:p>
          <w:p w:rsidR="00000000" w:rsidP="002D55A6">
            <w:pPr>
              <w:pStyle w:val="ListBullet"/>
              <w:rPr>
                <w:lang w:val="en-NZ"/>
              </w:rPr>
            </w:pPr>
            <w:r w:rsidRPr="002D55A6">
              <w:t>primers</w:t>
            </w:r>
          </w:p>
        </w:tc>
      </w:tr>
      <w:tr w:rsidTr="002D55A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D55A6">
            <w:pPr>
              <w:pStyle w:val="BodyText"/>
              <w:rPr>
                <w:lang w:val="en-NZ"/>
              </w:rPr>
            </w:pPr>
            <w:r w:rsidRPr="002D55A6">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2D55A6">
            <w:pPr>
              <w:pStyle w:val="ListBullet"/>
              <w:rPr>
                <w:lang w:val="en-NZ"/>
              </w:rPr>
            </w:pPr>
            <w:r w:rsidRPr="002D55A6">
              <w:t xml:space="preserve">that prescribed under legislation, regulations and enterprise policies and practices </w:t>
            </w:r>
          </w:p>
        </w:tc>
      </w:tr>
      <w:tr w:rsidTr="002D55A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2D55A6" w:rsidP="002D55A6">
            <w:pPr>
              <w:pStyle w:val="BodyText"/>
            </w:pPr>
            <w:r w:rsidRPr="002D55A6">
              <w:rPr>
                <w:rStyle w:val="SpecialBold"/>
              </w:rPr>
              <w:t>Information and procedures include:</w:t>
            </w:r>
          </w:p>
          <w:p w:rsidR="00000000" w:rsidP="002D55A6">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2D55A6" w:rsidP="002D55A6">
            <w:pPr>
              <w:pStyle w:val="ListBullet"/>
            </w:pPr>
            <w:r w:rsidRPr="002D55A6">
              <w:t xml:space="preserve">workplace procedures relating to the use of tools and equipment </w:t>
            </w:r>
          </w:p>
          <w:p w:rsidR="00000000" w:rsidRPr="002D55A6" w:rsidP="002D55A6">
            <w:pPr>
              <w:pStyle w:val="ListBullet"/>
            </w:pPr>
            <w:r w:rsidRPr="002D55A6">
              <w:t xml:space="preserve">work instructions, including job sheets, cutting lists, plans, drawings and designs </w:t>
            </w:r>
          </w:p>
          <w:p w:rsidR="00000000" w:rsidRPr="002D55A6" w:rsidP="002D55A6">
            <w:pPr>
              <w:pStyle w:val="ListBullet"/>
            </w:pPr>
            <w:r w:rsidRPr="002D55A6">
              <w:t xml:space="preserve">workplace procedures relating to reporting and communication </w:t>
            </w:r>
          </w:p>
          <w:p w:rsidR="00000000" w:rsidRPr="002D55A6" w:rsidP="002D55A6">
            <w:pPr>
              <w:pStyle w:val="ListBullet"/>
            </w:pPr>
            <w:r w:rsidRPr="002D55A6">
              <w:t>manufa</w:t>
            </w:r>
            <w:r w:rsidRPr="002D55A6">
              <w:t xml:space="preserve">cturer specifications and operational procedures </w:t>
            </w:r>
          </w:p>
        </w:tc>
      </w:tr>
    </w:tbl>
    <w:p w:rsidR="00000000" w:rsidRPr="002D55A6" w:rsidP="002D55A6">
      <w:pPr>
        <w:pStyle w:val="BodyText"/>
      </w:pPr>
    </w:p>
    <w:p w:rsidR="00000000" w:rsidRPr="002D55A6" w:rsidP="002D55A6">
      <w:pPr>
        <w:pStyle w:val="AllowPageBreak"/>
      </w:pPr>
    </w:p>
    <w:p w:rsidR="00000000" w:rsidRPr="002D55A6" w:rsidP="002D55A6">
      <w:pPr>
        <w:pStyle w:val="Heading1"/>
      </w:pPr>
      <w:bookmarkStart w:id="9" w:name="O_641070"/>
      <w:bookmarkEnd w:id="9"/>
      <w:r w:rsidRPr="002D55A6">
        <w:t>Unit Mapping Information</w:t>
      </w:r>
    </w:p>
    <w:p w:rsidR="00000000" w:rsidRPr="002D55A6" w:rsidP="006251FC">
      <w:pPr>
        <w:pStyle w:val="BodyText"/>
      </w:pPr>
      <w:r w:rsidRPr="002D55A6">
        <w:t>Supersedes and is equivalent to LMFFL2502A Install impact and sound absorption underlay</w:t>
      </w:r>
    </w:p>
    <w:p w:rsidR="00000000" w:rsidRPr="002D55A6" w:rsidP="002D55A6">
      <w:pPr>
        <w:pStyle w:val="Heading1"/>
      </w:pPr>
      <w:bookmarkStart w:id="10" w:name="O_641079"/>
      <w:bookmarkEnd w:id="10"/>
      <w:r w:rsidRPr="002D55A6">
        <w:t>Links</w:t>
      </w:r>
    </w:p>
    <w:p w:rsidR="00000000" w:rsidRPr="002D55A6" w:rsidP="006251FC">
      <w:pPr>
        <w:pStyle w:val="BodyText"/>
      </w:pPr>
      <w:r w:rsidRPr="002D55A6">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52276D">
        <w:rPr>
          <w:rStyle w:val="Hyperlink"/>
        </w:rPr>
        <w:t>https://vetnet.gov.au/Pages/TrainingDocs.aspx?q=0601ab95-583a-4e93-b2d4-cfb27b03ed73</w:t>
      </w:r>
      <w:r>
        <w:fldChar w:fldCharType="end"/>
      </w:r>
    </w:p>
    <w:p w:rsidR="00000000" w:rsidRPr="002D55A6" w:rsidP="006251FC">
      <w:pPr>
        <w:pStyle w:val="BodyText"/>
        <w:sectPr w:rsidSect="002D55A6">
          <w:headerReference w:type="default" r:id="rId10"/>
          <w:footerReference w:type="default" r:id="rId11"/>
          <w:pgSz w:w="11908" w:h="16833"/>
          <w:pgMar w:top="1702" w:right="1418" w:bottom="1702" w:left="1418" w:header="992" w:footer="992" w:gutter="0"/>
          <w:cols w:space="720"/>
          <w:noEndnote/>
          <w:docGrid w:linePitch="299"/>
        </w:sectPr>
      </w:pPr>
    </w:p>
    <w:p w:rsidR="00000000" w:rsidRPr="002D55A6" w:rsidP="002D55A6">
      <w:pPr>
        <w:pStyle w:val="SuperHeading"/>
      </w:pPr>
      <w:r w:rsidRPr="002D55A6">
        <w:t xml:space="preserve">Assessment Requirements for MSFFL2025 Install impact and sound </w:t>
      </w:r>
      <w:r w:rsidRPr="002D55A6">
        <w:t>absorption underlay</w:t>
      </w:r>
    </w:p>
    <w:p w:rsidR="00000000" w:rsidRPr="002D55A6" w:rsidP="002D55A6">
      <w:pPr>
        <w:pStyle w:val="Heading1"/>
      </w:pPr>
      <w:bookmarkStart w:id="11" w:name="O_641068"/>
      <w:bookmarkEnd w:id="11"/>
      <w:r w:rsidRPr="002D55A6">
        <w:t>Modification History</w:t>
      </w:r>
    </w:p>
    <w:p w:rsidR="00000000" w:rsidRPr="002D55A6" w:rsidP="006251FC">
      <w:pPr>
        <w:pStyle w:val="BodyText"/>
      </w:pPr>
      <w:r w:rsidRPr="002D55A6">
        <w:t>Release 2 - Unit code corrected in mapping - Supersedes and is equivalent to LMFFL2502A</w:t>
      </w:r>
    </w:p>
    <w:p w:rsidR="00000000" w:rsidRPr="002D55A6" w:rsidP="006251FC">
      <w:pPr>
        <w:pStyle w:val="BodyText"/>
      </w:pPr>
      <w:r w:rsidRPr="002D55A6">
        <w:t>Release 1 - New unit of competency</w:t>
      </w:r>
    </w:p>
    <w:p w:rsidR="00000000" w:rsidRPr="002D55A6" w:rsidP="002D55A6">
      <w:pPr>
        <w:pStyle w:val="Heading1"/>
      </w:pPr>
      <w:bookmarkStart w:id="12" w:name="O_641067"/>
      <w:bookmarkEnd w:id="12"/>
      <w:r w:rsidRPr="002D55A6">
        <w:t>Performance Evidence</w:t>
      </w:r>
    </w:p>
    <w:p w:rsidR="00000000" w:rsidRPr="002D55A6" w:rsidP="002D55A6">
      <w:pPr>
        <w:pStyle w:val="ListBullet"/>
      </w:pPr>
      <w:r w:rsidRPr="002D55A6">
        <w:t>Interpret work order and locate and a</w:t>
      </w:r>
      <w:r w:rsidRPr="002D55A6">
        <w:t xml:space="preserve">pply relevant information </w:t>
      </w:r>
    </w:p>
    <w:p w:rsidR="00000000" w:rsidRPr="002D55A6" w:rsidP="002D55A6">
      <w:pPr>
        <w:pStyle w:val="ListBullet"/>
      </w:pPr>
      <w:r w:rsidRPr="002D55A6">
        <w:t xml:space="preserve">Apply safe handling requirements for equipment, products and materials, including use of personal protective equipment </w:t>
      </w:r>
    </w:p>
    <w:p w:rsidR="00000000" w:rsidRPr="002D55A6" w:rsidP="002D55A6">
      <w:pPr>
        <w:pStyle w:val="ListBullet"/>
      </w:pPr>
      <w:r w:rsidRPr="002D55A6">
        <w:t xml:space="preserve">Identify materials used in the work process </w:t>
      </w:r>
    </w:p>
    <w:p w:rsidR="00000000" w:rsidRPr="002D55A6" w:rsidP="002D55A6">
      <w:pPr>
        <w:pStyle w:val="ListBullet"/>
      </w:pPr>
      <w:r w:rsidRPr="002D55A6">
        <w:t>Follow work instructions, operating procedures and inspection pr</w:t>
      </w:r>
      <w:r w:rsidRPr="002D55A6">
        <w:t xml:space="preserve">ocesses to: </w:t>
      </w:r>
    </w:p>
    <w:p w:rsidR="00000000" w:rsidRPr="002D55A6" w:rsidP="002D55A6">
      <w:pPr>
        <w:pStyle w:val="ListBullet2"/>
      </w:pPr>
      <w:r w:rsidRPr="002D55A6">
        <w:t xml:space="preserve">minimise the risk of injury to self or others </w:t>
      </w:r>
    </w:p>
    <w:p w:rsidR="00000000" w:rsidRPr="002D55A6" w:rsidP="002D55A6">
      <w:pPr>
        <w:pStyle w:val="ListBullet2"/>
      </w:pPr>
      <w:r w:rsidRPr="002D55A6">
        <w:t xml:space="preserve">prevent damage to goods, equipment and products </w:t>
      </w:r>
    </w:p>
    <w:p w:rsidR="00000000" w:rsidRPr="002D55A6" w:rsidP="002D55A6">
      <w:pPr>
        <w:pStyle w:val="ListBullet2"/>
      </w:pPr>
      <w:r w:rsidRPr="002D55A6">
        <w:t xml:space="preserve">maintain required production output and product quality </w:t>
      </w:r>
    </w:p>
    <w:p w:rsidR="00000000" w:rsidRPr="002D55A6" w:rsidP="002D55A6">
      <w:pPr>
        <w:pStyle w:val="ListBullet"/>
      </w:pPr>
      <w:r w:rsidRPr="002D55A6">
        <w:t>Complete a minimum of two (2) impact and sound absorption underlay installati</w:t>
      </w:r>
      <w:r w:rsidRPr="002D55A6">
        <w:t>ons with one (1) incorporating such obstructions as doorways, fittings and irregular (obtuse/acute) angles (dual-bonded and conventional)</w:t>
      </w:r>
    </w:p>
    <w:p w:rsidR="00000000" w:rsidRPr="002D55A6" w:rsidP="002D55A6">
      <w:pPr>
        <w:pStyle w:val="ListBullet"/>
      </w:pPr>
      <w:r w:rsidRPr="002D55A6">
        <w:t>Use mathematical ideas and techniques to correctly complete measurements, calculate area and estimate material require</w:t>
      </w:r>
      <w:r w:rsidRPr="002D55A6">
        <w:t xml:space="preserve">ments </w:t>
      </w:r>
    </w:p>
    <w:p w:rsidR="00000000" w:rsidRPr="002D55A6" w:rsidP="002D55A6">
      <w:pPr>
        <w:pStyle w:val="ListBullet"/>
      </w:pPr>
      <w:r w:rsidRPr="002D55A6">
        <w:t xml:space="preserve">Communicate ideas and information to enable confirmation of work requirements and specifications and the reporting of work outcomes and problems, interpret basic plans and follow safety procedures </w:t>
      </w:r>
    </w:p>
    <w:p w:rsidR="00000000" w:rsidRPr="002D55A6" w:rsidP="002D55A6">
      <w:pPr>
        <w:pStyle w:val="ListBullet"/>
      </w:pPr>
      <w:r w:rsidRPr="002D55A6">
        <w:t>Avoid backtracking, work flow interruptions or wast</w:t>
      </w:r>
      <w:r w:rsidRPr="002D55A6">
        <w:t>age</w:t>
      </w:r>
    </w:p>
    <w:p w:rsidR="00000000" w:rsidRPr="002D55A6" w:rsidP="002D55A6">
      <w:pPr>
        <w:pStyle w:val="ListBullet"/>
      </w:pPr>
      <w:r w:rsidRPr="002D55A6">
        <w:t>Work with others and in a team by recognising dependencies and using cooperative approaches to optimise work flow and productivity</w:t>
      </w:r>
    </w:p>
    <w:p w:rsidR="00000000" w:rsidRPr="002D55A6" w:rsidP="002D55A6">
      <w:pPr>
        <w:pStyle w:val="AllowPageBreak"/>
      </w:pPr>
    </w:p>
    <w:p w:rsidR="00000000" w:rsidRPr="002D55A6" w:rsidP="002D55A6">
      <w:pPr>
        <w:pStyle w:val="Heading1"/>
      </w:pPr>
      <w:bookmarkStart w:id="13" w:name="O_641066"/>
      <w:bookmarkEnd w:id="13"/>
      <w:r w:rsidRPr="002D55A6">
        <w:t>Knowledge Evidence</w:t>
      </w:r>
    </w:p>
    <w:p w:rsidR="00000000" w:rsidRPr="002D55A6" w:rsidP="002D55A6">
      <w:pPr>
        <w:pStyle w:val="ListBullet"/>
      </w:pPr>
      <w:r w:rsidRPr="002D55A6">
        <w:t>State or territory WHS legislation, regulations, standards and codes of practice relevant to installing impact and sound absorption underlay</w:t>
      </w:r>
    </w:p>
    <w:p w:rsidR="00000000" w:rsidRPr="002D55A6" w:rsidP="002D55A6">
      <w:pPr>
        <w:pStyle w:val="ListBullet"/>
      </w:pPr>
      <w:r w:rsidRPr="002D55A6">
        <w:t>Organisational and site standards, requirements, policies and procedures for installing impact and sound absorption</w:t>
      </w:r>
      <w:r w:rsidRPr="002D55A6">
        <w:t xml:space="preserve"> underlay</w:t>
      </w:r>
    </w:p>
    <w:p w:rsidR="00000000" w:rsidRPr="002D55A6" w:rsidP="002D55A6">
      <w:pPr>
        <w:pStyle w:val="ListBullet"/>
      </w:pPr>
      <w:r w:rsidRPr="002D55A6">
        <w:t>Environmental protection requirements</w:t>
      </w:r>
    </w:p>
    <w:p w:rsidR="00000000" w:rsidRPr="002D55A6" w:rsidP="002D55A6">
      <w:pPr>
        <w:pStyle w:val="ListBullet"/>
      </w:pPr>
      <w:r w:rsidRPr="002D55A6">
        <w:t>Established communication channels and protocols</w:t>
      </w:r>
    </w:p>
    <w:p w:rsidR="00000000" w:rsidRPr="002D55A6" w:rsidP="002D55A6">
      <w:pPr>
        <w:pStyle w:val="ListBullet"/>
      </w:pPr>
      <w:r w:rsidRPr="002D55A6">
        <w:t>Relevant problem identification and resolution</w:t>
      </w:r>
    </w:p>
    <w:p w:rsidR="00000000" w:rsidRPr="002D55A6" w:rsidP="002D55A6">
      <w:pPr>
        <w:pStyle w:val="ListBullet"/>
      </w:pPr>
      <w:r w:rsidRPr="002D55A6">
        <w:t>Types of tools and equipment and procedures for their safe use, operation and maintenance</w:t>
      </w:r>
    </w:p>
    <w:p w:rsidR="00000000" w:rsidRPr="002D55A6" w:rsidP="002D55A6">
      <w:pPr>
        <w:pStyle w:val="ListBullet"/>
      </w:pPr>
      <w:r w:rsidRPr="002D55A6">
        <w:t>Characteristics of materials, products and defects</w:t>
      </w:r>
    </w:p>
    <w:p w:rsidR="00000000" w:rsidRPr="002D55A6" w:rsidP="002D55A6">
      <w:pPr>
        <w:pStyle w:val="ListBullet"/>
      </w:pPr>
      <w:r w:rsidRPr="002D55A6">
        <w:t>Set-up and operation of equipment</w:t>
      </w:r>
    </w:p>
    <w:p w:rsidR="00000000" w:rsidRPr="002D55A6" w:rsidP="002D55A6">
      <w:pPr>
        <w:pStyle w:val="ListBullet"/>
      </w:pPr>
      <w:r w:rsidRPr="002D55A6">
        <w:t>Products assembly techniques</w:t>
      </w:r>
    </w:p>
    <w:p w:rsidR="00000000" w:rsidRPr="002D55A6" w:rsidP="002D55A6">
      <w:pPr>
        <w:pStyle w:val="ListBullet"/>
      </w:pPr>
      <w:r w:rsidRPr="002D55A6">
        <w:t>Procedures for the recording, reporting and maintenance of workplace records and information</w:t>
      </w:r>
    </w:p>
    <w:p w:rsidR="00000000" w:rsidRPr="002D55A6" w:rsidP="002D55A6">
      <w:pPr>
        <w:pStyle w:val="ListBullet"/>
      </w:pPr>
      <w:r w:rsidRPr="002D55A6">
        <w:t>Appropriate mathematical procedures for estimatio</w:t>
      </w:r>
      <w:r w:rsidRPr="002D55A6">
        <w:t>n and measurement</w:t>
      </w:r>
    </w:p>
    <w:p w:rsidR="00000000" w:rsidRPr="002D55A6" w:rsidP="002D55A6">
      <w:pPr>
        <w:pStyle w:val="ListBullet"/>
      </w:pPr>
      <w:r w:rsidRPr="002D55A6">
        <w:t xml:space="preserve">Types, characteristics, uses and limitations of impact and sound absorption underlay </w:t>
      </w:r>
    </w:p>
    <w:p w:rsidR="00000000" w:rsidRPr="002D55A6" w:rsidP="002D55A6">
      <w:pPr>
        <w:pStyle w:val="ListBullet"/>
      </w:pPr>
      <w:r w:rsidRPr="002D55A6">
        <w:t>Types and uses of impact and sound absorption underlay installation tools and equipment</w:t>
      </w:r>
    </w:p>
    <w:p w:rsidR="00000000" w:rsidRPr="002D55A6" w:rsidP="002D55A6">
      <w:pPr>
        <w:pStyle w:val="ListBullet"/>
      </w:pPr>
      <w:r w:rsidRPr="002D55A6">
        <w:t>Workplace safety system requirements related to cutting and fitt</w:t>
      </w:r>
      <w:r w:rsidRPr="002D55A6">
        <w:t>ing impact and sound absorption underlay</w:t>
      </w:r>
    </w:p>
    <w:p w:rsidR="00000000" w:rsidRPr="002D55A6" w:rsidP="002D55A6">
      <w:pPr>
        <w:pStyle w:val="ListBullet"/>
      </w:pPr>
      <w:r w:rsidRPr="002D55A6">
        <w:t>Characteristics and requirements of sub-floor preparation</w:t>
      </w:r>
    </w:p>
    <w:p w:rsidR="00000000" w:rsidRPr="002D55A6" w:rsidP="002D55A6">
      <w:pPr>
        <w:pStyle w:val="ListBullet"/>
      </w:pPr>
      <w:r w:rsidRPr="002D55A6">
        <w:t>Work flow in relation to cutting and fitting impact and sound absorption underlay</w:t>
      </w:r>
    </w:p>
    <w:p w:rsidR="00000000" w:rsidRPr="002D55A6" w:rsidP="002D55A6">
      <w:pPr>
        <w:pStyle w:val="AllowPageBreak"/>
      </w:pPr>
    </w:p>
    <w:p w:rsidR="00000000" w:rsidRPr="002D55A6" w:rsidP="002D55A6">
      <w:pPr>
        <w:pStyle w:val="Heading1"/>
      </w:pPr>
      <w:bookmarkStart w:id="14" w:name="O_641065"/>
      <w:bookmarkEnd w:id="14"/>
      <w:r w:rsidRPr="002D55A6">
        <w:t>Assessment Conditions</w:t>
      </w:r>
    </w:p>
    <w:p w:rsidR="00000000" w:rsidRPr="002D55A6" w:rsidP="002D55A6">
      <w:pPr>
        <w:pStyle w:val="ListBullet"/>
      </w:pPr>
      <w:r w:rsidRPr="002D55A6">
        <w:t>Assessors must:</w:t>
      </w:r>
    </w:p>
    <w:p w:rsidR="00000000" w:rsidRPr="002D55A6" w:rsidP="002D55A6">
      <w:pPr>
        <w:pStyle w:val="ListBullet2"/>
      </w:pPr>
      <w:r w:rsidRPr="002D55A6">
        <w:t xml:space="preserve">hold training and </w:t>
      </w:r>
      <w:r w:rsidRPr="002D55A6">
        <w:t>assessment competencies as determined by the National Skills Standards Council (NSSC) or its successors</w:t>
      </w:r>
    </w:p>
    <w:p w:rsidR="00000000" w:rsidRPr="002D55A6" w:rsidP="002D55A6">
      <w:pPr>
        <w:pStyle w:val="ListBullet2"/>
      </w:pPr>
      <w:r w:rsidRPr="002D55A6">
        <w:t xml:space="preserve">have vocational competency in the furnishing industry at least to the level being assessed with broad industry knowledge and experience, usually combined with a relevant industry qualification </w:t>
      </w:r>
    </w:p>
    <w:p w:rsidR="00000000" w:rsidRPr="002D55A6" w:rsidP="002D55A6">
      <w:pPr>
        <w:pStyle w:val="ListBullet2"/>
      </w:pPr>
      <w:r w:rsidRPr="002D55A6">
        <w:t>be familiar with the current skills and knowledge used and hav</w:t>
      </w:r>
      <w:r w:rsidRPr="002D55A6">
        <w:t>e relevant, current experience in the furnishing industry.</w:t>
      </w:r>
    </w:p>
    <w:p w:rsidR="00000000" w:rsidRPr="002D55A6" w:rsidP="002D55A6">
      <w:pPr>
        <w:pStyle w:val="ListBullet"/>
      </w:pPr>
      <w:r w:rsidRPr="002D55A6">
        <w:t xml:space="preserve">Assessment methods must confirm consistency of performance over time rather than a single assessment event and in a range of workplace relevant contexts. </w:t>
      </w:r>
    </w:p>
    <w:p w:rsidR="00000000" w:rsidRPr="002D55A6" w:rsidP="002D55A6">
      <w:pPr>
        <w:pStyle w:val="ListBullet"/>
      </w:pPr>
      <w:r w:rsidRPr="002D55A6">
        <w:t>Assessment must be by observation of rele</w:t>
      </w:r>
      <w:r w:rsidRPr="002D55A6">
        <w:t xml:space="preserve">vant tasks with questioning on underpinning knowledge and, where applicable, multimedia evidence, supervisor’s reports, projects and work samples. </w:t>
      </w:r>
    </w:p>
    <w:p w:rsidR="00000000" w:rsidRPr="002D55A6" w:rsidP="002D55A6">
      <w:pPr>
        <w:pStyle w:val="ListBullet"/>
      </w:pPr>
      <w:r w:rsidRPr="002D55A6">
        <w:t>Assessment is to be conducted on single units of competency or in conjunction with other related units of co</w:t>
      </w:r>
      <w:r w:rsidRPr="002D55A6">
        <w:t>mpetency. Foundation skills are integral to competent performance in the unit and should not be assessed separately.</w:t>
      </w:r>
    </w:p>
    <w:p w:rsidR="00000000" w:rsidRPr="002D55A6" w:rsidP="002D55A6">
      <w:pPr>
        <w:pStyle w:val="ListBullet"/>
      </w:pPr>
      <w:r w:rsidRPr="002D55A6">
        <w:t>Assessment must occur on the job or in a workplace simulated facility with relevant process, equipment, materials, work instructions and de</w:t>
      </w:r>
      <w:r w:rsidRPr="002D55A6">
        <w:t>adlines.</w:t>
      </w:r>
    </w:p>
    <w:p w:rsidR="00000000" w:rsidRPr="002D55A6" w:rsidP="002D55A6">
      <w:pPr>
        <w:pStyle w:val="ListBullet"/>
      </w:pPr>
      <w:r w:rsidRPr="002D55A6">
        <w:t>Access is required to materials, equipment and specifications relevant to installing impact and sound absorption underlay.</w:t>
      </w:r>
    </w:p>
    <w:p w:rsidR="00000000" w:rsidRPr="002D55A6" w:rsidP="002D55A6">
      <w:pPr>
        <w:pStyle w:val="AllowPageBreak"/>
      </w:pPr>
    </w:p>
    <w:p w:rsidR="00000000" w:rsidRPr="002D55A6" w:rsidP="002D55A6">
      <w:pPr>
        <w:pStyle w:val="Heading1"/>
      </w:pPr>
      <w:bookmarkStart w:id="15" w:name="O_641080"/>
      <w:bookmarkEnd w:id="15"/>
      <w:r w:rsidRPr="002D55A6">
        <w:t>Links</w:t>
      </w:r>
    </w:p>
    <w:p w:rsidR="00000000" w:rsidRPr="002D55A6" w:rsidP="006251FC">
      <w:pPr>
        <w:pStyle w:val="BodyText"/>
      </w:pPr>
      <w:r w:rsidRPr="002D55A6">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52276D">
        <w:rPr>
          <w:rStyle w:val="Hyperlink"/>
        </w:rPr>
        <w:t>https://vetnet.gov.au/Pages/TrainingDocs.aspx?q=0601ab95-583a-4e93-b2d4-cfb27b03ed73</w:t>
      </w:r>
      <w:r>
        <w:fldChar w:fldCharType="end"/>
      </w:r>
    </w:p>
    <w:p w:rsidR="00000000" w:rsidRPr="002D55A6" w:rsidP="002D55A6"/>
    <w:sectPr w:rsidSect="002D55A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5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5A6" w:rsidRPr="006251FC" w:rsidP="006251F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5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1FC" w:rsidP="002D55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251FC" w:rsidP="002D55A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6251FC" w:rsidP="002D55A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5A6" w:rsidP="002D55A6">
    <w:pPr>
      <w:pStyle w:val="Footer"/>
      <w:framePr w:wrap="around"/>
    </w:pPr>
    <w:r>
      <w:fldChar w:fldCharType="begin"/>
    </w:r>
    <w:r>
      <w:instrText xml:space="preserve"> DOCPROPERTY  Subject  \* MERGEFORMAT </w:instrText>
    </w:r>
    <w:r>
      <w:fldChar w:fldCharType="separate"/>
    </w:r>
    <w:r w:rsidR="006251FC">
      <w:t>Approved</w:t>
    </w:r>
    <w:r w:rsidR="006251FC">
      <w:fldChar w:fldCharType="end"/>
    </w:r>
    <w:r>
      <w:tab/>
      <w:t xml:space="preserve">Page </w:t>
    </w:r>
    <w:r>
      <w:fldChar w:fldCharType="begin"/>
    </w:r>
    <w:r>
      <w:instrText xml:space="preserve"> PAGE  \* Arabic  \* MERGEFORMAT </w:instrText>
    </w:r>
    <w:r>
      <w:fldChar w:fldCharType="separate"/>
    </w:r>
    <w:r w:rsidR="006251F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251FC">
      <w:rPr>
        <w:noProof/>
      </w:rPr>
      <w:t>5</w:t>
    </w:r>
    <w:r>
      <w:rPr>
        <w:noProof/>
      </w:rPr>
      <w:fldChar w:fldCharType="end"/>
    </w:r>
  </w:p>
  <w:p w:rsidR="002D55A6" w:rsidP="002D55A6">
    <w:pPr>
      <w:pStyle w:val="Footer"/>
      <w:framePr w:wrap="around"/>
    </w:pPr>
    <w:r>
      <w:t xml:space="preserve">© Commonwealth of Australia, </w:t>
    </w:r>
    <w:r>
      <w:fldChar w:fldCharType="begin"/>
    </w:r>
    <w:r>
      <w:instrText xml:space="preserve"> DATE  \@ "yyyy"  \* MERGEFORMAT </w:instrText>
    </w:r>
    <w:r>
      <w:fldChar w:fldCharType="separate"/>
    </w:r>
    <w:r w:rsidR="006251FC">
      <w:rPr>
        <w:noProof/>
      </w:rPr>
      <w:t>2025</w:t>
    </w:r>
    <w:r>
      <w:fldChar w:fldCharType="end"/>
    </w:r>
    <w:r>
      <w:tab/>
    </w:r>
    <w:r>
      <w:fldChar w:fldCharType="begin"/>
    </w:r>
    <w:r>
      <w:instrText xml:space="preserve"> DOCPROPERTY  Author  \* MERGEFORMAT </w:instrText>
    </w:r>
    <w:r>
      <w:fldChar w:fldCharType="separate"/>
    </w:r>
    <w:r w:rsidR="006251FC">
      <w:t>Skills Insight</w:t>
    </w:r>
    <w:r w:rsidR="006251FC">
      <w:fldChar w:fldCharType="end"/>
    </w:r>
  </w:p>
  <w:p w:rsidR="002D55A6" w:rsidP="002D55A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5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1F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D55A6" w:rsidRPr="006251FC" w:rsidP="006251F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5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1FC" w:rsidRPr="002D2AF8" w:rsidP="002D55A6">
    <w:pPr>
      <w:pStyle w:val="Header"/>
      <w:framePr w:wrap="around"/>
    </w:pPr>
    <w:r>
      <w:fldChar w:fldCharType="begin"/>
    </w:r>
    <w:r>
      <w:instrText xml:space="preserve"> TITLE   \* MERGEFORMAT </w:instrText>
    </w:r>
    <w:r>
      <w:fldChar w:fldCharType="separate"/>
    </w:r>
    <w:r>
      <w:t>MSFFL2025 Install impact and sound absorption underlay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251FC" w:rsidP="002D55A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5A6" w:rsidRPr="002D2AF8" w:rsidP="002D55A6">
    <w:pPr>
      <w:pStyle w:val="Header"/>
      <w:framePr w:wrap="around"/>
    </w:pPr>
    <w:r>
      <w:fldChar w:fldCharType="begin"/>
    </w:r>
    <w:r>
      <w:instrText xml:space="preserve"> TITLE   \* MERGEFORMAT </w:instrText>
    </w:r>
    <w:r>
      <w:fldChar w:fldCharType="separate"/>
    </w:r>
    <w:r w:rsidR="006251FC">
      <w:t>MSFFL2025 Install impact and sound absorption underlay</w:t>
    </w:r>
    <w:r w:rsidR="006251FC">
      <w:fldChar w:fldCharType="end"/>
    </w:r>
    <w:r>
      <w:tab/>
      <w:t xml:space="preserve">Date this document was generated: </w:t>
    </w:r>
    <w:r>
      <w:fldChar w:fldCharType="begin"/>
    </w:r>
    <w:r>
      <w:instrText xml:space="preserve"> CREATEDATE  \@ "d MMMM yyyy"  \* MERGEFORMAT </w:instrText>
    </w:r>
    <w:r>
      <w:fldChar w:fldCharType="separate"/>
    </w:r>
    <w:r w:rsidR="006251FC">
      <w:rPr>
        <w:noProof/>
      </w:rPr>
      <w:t>2 March 2025</w:t>
    </w:r>
    <w:r>
      <w:fldChar w:fldCharType="end"/>
    </w:r>
  </w:p>
  <w:p w:rsidR="002D55A6" w:rsidP="002D55A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A38AF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98671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B404A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55A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D55A6"/>
    <w:pPr>
      <w:spacing w:before="360" w:after="60"/>
      <w:outlineLvl w:val="0"/>
    </w:pPr>
    <w:rPr>
      <w:sz w:val="32"/>
    </w:rPr>
  </w:style>
  <w:style w:type="paragraph" w:styleId="Heading2">
    <w:name w:val="heading 2"/>
    <w:basedOn w:val="HeadingBase"/>
    <w:next w:val="BodyText"/>
    <w:link w:val="Heading2Char"/>
    <w:qFormat/>
    <w:rsid w:val="002D55A6"/>
    <w:pPr>
      <w:keepLines/>
      <w:spacing w:before="240" w:after="120"/>
      <w:outlineLvl w:val="1"/>
    </w:pPr>
    <w:rPr>
      <w:sz w:val="28"/>
      <w:szCs w:val="40"/>
    </w:rPr>
  </w:style>
  <w:style w:type="paragraph" w:styleId="Heading3">
    <w:name w:val="heading 3"/>
    <w:basedOn w:val="HeadingBase"/>
    <w:next w:val="BodyText"/>
    <w:link w:val="Heading3Char"/>
    <w:qFormat/>
    <w:rsid w:val="002D55A6"/>
    <w:pPr>
      <w:spacing w:before="180" w:after="120"/>
      <w:outlineLvl w:val="2"/>
    </w:pPr>
    <w:rPr>
      <w:spacing w:val="-10"/>
      <w:kern w:val="32"/>
    </w:rPr>
  </w:style>
  <w:style w:type="paragraph" w:styleId="Heading4">
    <w:name w:val="heading 4"/>
    <w:basedOn w:val="HeadingBase"/>
    <w:next w:val="BodyText"/>
    <w:link w:val="Heading4Char"/>
    <w:qFormat/>
    <w:rsid w:val="002D55A6"/>
    <w:pPr>
      <w:spacing w:before="160" w:after="120"/>
      <w:outlineLvl w:val="3"/>
    </w:pPr>
    <w:rPr>
      <w:sz w:val="22"/>
    </w:rPr>
  </w:style>
  <w:style w:type="paragraph" w:styleId="Heading5">
    <w:name w:val="heading 5"/>
    <w:basedOn w:val="HeadingBase"/>
    <w:next w:val="Normal"/>
    <w:link w:val="Heading5Char"/>
    <w:qFormat/>
    <w:rsid w:val="002D55A6"/>
    <w:pPr>
      <w:spacing w:before="80"/>
      <w:outlineLvl w:val="4"/>
    </w:pPr>
    <w:rPr>
      <w:color w:val="918585"/>
      <w:sz w:val="20"/>
    </w:rPr>
  </w:style>
  <w:style w:type="paragraph" w:styleId="Heading6">
    <w:name w:val="heading 6"/>
    <w:basedOn w:val="HeadingBase"/>
    <w:next w:val="Normal"/>
    <w:link w:val="Heading6Char"/>
    <w:qFormat/>
    <w:rsid w:val="002D55A6"/>
    <w:pPr>
      <w:spacing w:before="60"/>
      <w:outlineLvl w:val="5"/>
    </w:pPr>
    <w:rPr>
      <w:color w:val="918585"/>
      <w:sz w:val="20"/>
    </w:rPr>
  </w:style>
  <w:style w:type="paragraph" w:styleId="Heading7">
    <w:name w:val="heading 7"/>
    <w:basedOn w:val="Normal"/>
    <w:next w:val="Normal"/>
    <w:link w:val="Heading7Char"/>
    <w:qFormat/>
    <w:rsid w:val="002D55A6"/>
    <w:pPr>
      <w:ind w:left="720"/>
      <w:outlineLvl w:val="6"/>
    </w:pPr>
    <w:rPr>
      <w:i/>
    </w:rPr>
  </w:style>
  <w:style w:type="paragraph" w:styleId="Heading8">
    <w:name w:val="heading 8"/>
    <w:basedOn w:val="Normal"/>
    <w:next w:val="Normal"/>
    <w:link w:val="Heading8Char"/>
    <w:qFormat/>
    <w:rsid w:val="002D55A6"/>
    <w:pPr>
      <w:ind w:left="720"/>
      <w:outlineLvl w:val="7"/>
    </w:pPr>
    <w:rPr>
      <w:i/>
    </w:rPr>
  </w:style>
  <w:style w:type="paragraph" w:styleId="Heading9">
    <w:name w:val="heading 9"/>
    <w:basedOn w:val="Normal"/>
    <w:next w:val="Normal"/>
    <w:link w:val="Heading9Char"/>
    <w:qFormat/>
    <w:rsid w:val="002D55A6"/>
    <w:pPr>
      <w:ind w:left="720"/>
      <w:outlineLvl w:val="8"/>
    </w:pPr>
    <w:rPr>
      <w:i/>
    </w:rPr>
  </w:style>
  <w:style w:type="character" w:default="1" w:styleId="DefaultParagraphFont">
    <w:name w:val="Default Paragraph Font"/>
    <w:uiPriority w:val="1"/>
    <w:unhideWhenUsed/>
    <w:rsid w:val="002D55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55A6"/>
  </w:style>
  <w:style w:type="character" w:customStyle="1" w:styleId="Heading1Char">
    <w:name w:val="Heading 1 Char"/>
    <w:basedOn w:val="DefaultParagraphFont"/>
    <w:link w:val="Heading1"/>
    <w:rsid w:val="002D55A6"/>
    <w:rPr>
      <w:rFonts w:ascii="Times New Roman" w:eastAsia="Times New Roman" w:hAnsi="Times New Roman" w:cs="Times New Roman"/>
      <w:b/>
      <w:sz w:val="32"/>
      <w:szCs w:val="20"/>
      <w:lang w:eastAsia="en-US"/>
    </w:rPr>
  </w:style>
  <w:style w:type="paragraph" w:styleId="BodyText">
    <w:name w:val="Body Text"/>
    <w:basedOn w:val="Normal"/>
    <w:link w:val="BodyTextChar"/>
    <w:rsid w:val="002D55A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D55A6"/>
    <w:rPr>
      <w:rFonts w:ascii="Times New Roman" w:eastAsia="Times New Roman" w:hAnsi="Times New Roman" w:cs="Times New Roman"/>
      <w:sz w:val="24"/>
      <w:lang w:eastAsia="en-US"/>
    </w:rPr>
  </w:style>
  <w:style w:type="paragraph" w:styleId="ListBullet">
    <w:name w:val="List Bullet"/>
    <w:basedOn w:val="List"/>
    <w:rsid w:val="002D55A6"/>
    <w:pPr>
      <w:numPr>
        <w:numId w:val="12"/>
      </w:numPr>
      <w:tabs>
        <w:tab w:val="clear" w:pos="340"/>
      </w:tabs>
      <w:spacing w:before="40" w:after="40"/>
    </w:pPr>
  </w:style>
  <w:style w:type="character" w:customStyle="1" w:styleId="SpecialBold">
    <w:name w:val="Special Bold"/>
    <w:basedOn w:val="DefaultParagraphFont"/>
    <w:rsid w:val="002D55A6"/>
    <w:rPr>
      <w:b/>
      <w:spacing w:val="0"/>
    </w:rPr>
  </w:style>
  <w:style w:type="paragraph" w:styleId="ListBullet2">
    <w:name w:val="List Bullet 2"/>
    <w:basedOn w:val="List2"/>
    <w:rsid w:val="002D55A6"/>
    <w:pPr>
      <w:numPr>
        <w:numId w:val="13"/>
      </w:numPr>
      <w:tabs>
        <w:tab w:val="clear" w:pos="680"/>
      </w:tabs>
    </w:pPr>
  </w:style>
  <w:style w:type="paragraph" w:customStyle="1" w:styleId="SuperHeading">
    <w:name w:val="SuperHeading"/>
    <w:basedOn w:val="Normal"/>
    <w:rsid w:val="002D55A6"/>
    <w:pPr>
      <w:spacing w:before="240" w:after="120"/>
      <w:outlineLvl w:val="0"/>
    </w:pPr>
    <w:rPr>
      <w:rFonts w:ascii="Times New Roman" w:hAnsi="Times New Roman"/>
      <w:b/>
      <w:sz w:val="32"/>
    </w:rPr>
  </w:style>
  <w:style w:type="paragraph" w:customStyle="1" w:styleId="AllowPageBreak">
    <w:name w:val="AllowPageBreak"/>
    <w:rsid w:val="002D55A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D55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55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D55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D55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55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55A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D55A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D55A6"/>
    <w:rPr>
      <w:rFonts w:ascii="Courier New" w:eastAsia="Times New Roman" w:hAnsi="Courier New" w:cs="Times New Roman"/>
      <w:i/>
      <w:szCs w:val="20"/>
      <w:lang w:eastAsia="en-US"/>
    </w:rPr>
  </w:style>
  <w:style w:type="paragraph" w:customStyle="1" w:styleId="HeadingBase">
    <w:name w:val="Heading Base"/>
    <w:rsid w:val="002D55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55A6"/>
    <w:pPr>
      <w:tabs>
        <w:tab w:val="right" w:leader="dot" w:pos="9072"/>
      </w:tabs>
      <w:ind w:left="567"/>
    </w:pPr>
    <w:rPr>
      <w:szCs w:val="22"/>
    </w:rPr>
  </w:style>
  <w:style w:type="paragraph" w:customStyle="1" w:styleId="TOCBase">
    <w:name w:val="TOC Base"/>
    <w:rsid w:val="002D55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55A6"/>
    <w:pPr>
      <w:tabs>
        <w:tab w:val="right" w:leader="dot" w:pos="9072"/>
      </w:tabs>
      <w:spacing w:before="40" w:after="40"/>
      <w:ind w:left="284"/>
    </w:pPr>
    <w:rPr>
      <w:rFonts w:ascii="Times New Roman" w:hAnsi="Times New Roman"/>
    </w:rPr>
  </w:style>
  <w:style w:type="paragraph" w:styleId="TOC1">
    <w:name w:val="toc 1"/>
    <w:basedOn w:val="TOCBase"/>
    <w:next w:val="Normal"/>
    <w:rsid w:val="002D55A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D55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55A6"/>
    <w:rPr>
      <w:rFonts w:ascii="Times New Roman" w:eastAsia="Times New Roman" w:hAnsi="Times New Roman" w:cs="Times New Roman"/>
      <w:sz w:val="16"/>
      <w:lang w:eastAsia="en-US"/>
    </w:rPr>
  </w:style>
  <w:style w:type="paragraph" w:styleId="Title">
    <w:name w:val="Title"/>
    <w:basedOn w:val="HeadingBase"/>
    <w:link w:val="TitleChar"/>
    <w:qFormat/>
    <w:rsid w:val="002D55A6"/>
    <w:pPr>
      <w:spacing w:before="5040"/>
      <w:jc w:val="center"/>
    </w:pPr>
    <w:rPr>
      <w:sz w:val="48"/>
      <w:szCs w:val="72"/>
      <w:lang w:val="en-US"/>
    </w:rPr>
  </w:style>
  <w:style w:type="character" w:customStyle="1" w:styleId="TitleChar">
    <w:name w:val="Title Char"/>
    <w:basedOn w:val="DefaultParagraphFont"/>
    <w:link w:val="Title"/>
    <w:rsid w:val="002D55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55A6"/>
    <w:pPr>
      <w:tabs>
        <w:tab w:val="left" w:pos="3600"/>
        <w:tab w:val="left" w:pos="3958"/>
      </w:tabs>
    </w:pPr>
  </w:style>
  <w:style w:type="paragraph" w:styleId="List">
    <w:name w:val="List"/>
    <w:basedOn w:val="BodyText"/>
    <w:next w:val="BodyText"/>
    <w:rsid w:val="002D55A6"/>
    <w:pPr>
      <w:tabs>
        <w:tab w:val="left" w:pos="340"/>
      </w:tabs>
      <w:spacing w:before="60" w:after="60"/>
      <w:ind w:left="340" w:hanging="340"/>
    </w:pPr>
  </w:style>
  <w:style w:type="paragraph" w:customStyle="1" w:styleId="Note">
    <w:name w:val="Note"/>
    <w:basedOn w:val="BodyText"/>
    <w:rsid w:val="002D55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D55A6"/>
    <w:pPr>
      <w:framePr w:wrap="auto" w:hAnchor="text" w:y="6049"/>
    </w:pPr>
    <w:rPr>
      <w:color w:val="000000"/>
      <w:sz w:val="40"/>
    </w:rPr>
  </w:style>
  <w:style w:type="paragraph" w:customStyle="1" w:styleId="TOCTitle">
    <w:name w:val="TOCTitle"/>
    <w:basedOn w:val="Heading1"/>
    <w:rsid w:val="002D55A6"/>
    <w:pPr>
      <w:spacing w:after="240"/>
      <w:jc w:val="center"/>
      <w:outlineLvl w:val="9"/>
    </w:pPr>
    <w:rPr>
      <w:caps/>
    </w:rPr>
  </w:style>
  <w:style w:type="paragraph" w:customStyle="1" w:styleId="Version">
    <w:name w:val="Version"/>
    <w:rsid w:val="002D55A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D55A6"/>
    <w:pPr>
      <w:keepNext w:val="0"/>
      <w:tabs>
        <w:tab w:val="right" w:pos="4176"/>
      </w:tabs>
      <w:ind w:left="198" w:hanging="198"/>
    </w:pPr>
    <w:rPr>
      <w:rFonts w:ascii="Garamond" w:hAnsi="Garamond"/>
    </w:rPr>
  </w:style>
  <w:style w:type="paragraph" w:styleId="IndexHeading">
    <w:name w:val="index heading"/>
    <w:basedOn w:val="Normal"/>
    <w:next w:val="Index1"/>
    <w:semiHidden/>
    <w:rsid w:val="002D55A6"/>
    <w:pPr>
      <w:spacing w:before="120" w:after="120"/>
    </w:pPr>
    <w:rPr>
      <w:rFonts w:ascii="Arial" w:hAnsi="Arial"/>
      <w:b/>
      <w:color w:val="918585"/>
      <w:sz w:val="24"/>
    </w:rPr>
  </w:style>
  <w:style w:type="paragraph" w:styleId="Header">
    <w:name w:val="header"/>
    <w:basedOn w:val="Normal"/>
    <w:link w:val="HeaderChar"/>
    <w:rsid w:val="002D55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55A6"/>
    <w:rPr>
      <w:rFonts w:ascii="Times New Roman" w:eastAsia="Times New Roman" w:hAnsi="Times New Roman" w:cs="Times New Roman"/>
      <w:sz w:val="16"/>
      <w:szCs w:val="20"/>
      <w:lang w:val="en-GB" w:eastAsia="en-US"/>
    </w:rPr>
  </w:style>
  <w:style w:type="paragraph" w:customStyle="1" w:styleId="Chapter">
    <w:name w:val="Chapter"/>
    <w:basedOn w:val="Normal"/>
    <w:rsid w:val="002D55A6"/>
    <w:pPr>
      <w:spacing w:before="240"/>
    </w:pPr>
    <w:rPr>
      <w:rFonts w:ascii="Times New Roman" w:hAnsi="Times New Roman"/>
      <w:smallCaps/>
      <w:spacing w:val="80"/>
      <w:sz w:val="28"/>
    </w:rPr>
  </w:style>
  <w:style w:type="paragraph" w:customStyle="1" w:styleId="InChapter">
    <w:name w:val="InChapter"/>
    <w:basedOn w:val="Heading3"/>
    <w:rsid w:val="002D55A6"/>
    <w:pPr>
      <w:spacing w:after="240"/>
      <w:outlineLvl w:val="9"/>
    </w:pPr>
    <w:rPr>
      <w:noProof/>
    </w:rPr>
  </w:style>
  <w:style w:type="paragraph" w:styleId="Index2">
    <w:name w:val="index 2"/>
    <w:basedOn w:val="Normal"/>
    <w:next w:val="Normal"/>
    <w:semiHidden/>
    <w:rsid w:val="002D55A6"/>
    <w:pPr>
      <w:tabs>
        <w:tab w:val="right" w:pos="4176"/>
      </w:tabs>
      <w:ind w:left="568" w:hanging="284"/>
    </w:pPr>
    <w:rPr>
      <w:rFonts w:ascii="Garamond" w:hAnsi="Garamond"/>
    </w:rPr>
  </w:style>
  <w:style w:type="paragraph" w:customStyle="1" w:styleId="Byline">
    <w:name w:val="Byline"/>
    <w:rsid w:val="002D55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55A6"/>
    <w:pPr>
      <w:tabs>
        <w:tab w:val="clear" w:pos="3600"/>
        <w:tab w:val="clear" w:pos="3958"/>
      </w:tabs>
      <w:jc w:val="right"/>
    </w:pPr>
  </w:style>
  <w:style w:type="character" w:styleId="Emphasis">
    <w:name w:val="Emphasis"/>
    <w:basedOn w:val="DefaultParagraphFont"/>
    <w:qFormat/>
    <w:rsid w:val="002D55A6"/>
    <w:rPr>
      <w:i/>
    </w:rPr>
  </w:style>
  <w:style w:type="paragraph" w:styleId="Caption">
    <w:name w:val="caption"/>
    <w:basedOn w:val="BodyText"/>
    <w:next w:val="Normal"/>
    <w:qFormat/>
    <w:rsid w:val="002D55A6"/>
    <w:pPr>
      <w:framePr w:w="2268" w:hSpace="181" w:vSpace="181" w:wrap="around" w:vAnchor="text" w:hAnchor="page" w:x="1135" w:y="285" w:anchorLock="1"/>
    </w:pPr>
    <w:rPr>
      <w:i/>
    </w:rPr>
  </w:style>
  <w:style w:type="paragraph" w:customStyle="1" w:styleId="MiniTOCTitle">
    <w:name w:val="MiniTOCTitle"/>
    <w:basedOn w:val="Heading4"/>
    <w:rsid w:val="002D55A6"/>
    <w:pPr>
      <w:spacing w:before="240"/>
      <w:outlineLvl w:val="9"/>
    </w:pPr>
    <w:rPr>
      <w:noProof/>
      <w:sz w:val="24"/>
    </w:rPr>
  </w:style>
  <w:style w:type="paragraph" w:customStyle="1" w:styleId="MiniTOCItem">
    <w:name w:val="MiniTOCItem"/>
    <w:basedOn w:val="ListBullet"/>
    <w:rsid w:val="002D55A6"/>
    <w:pPr>
      <w:numPr>
        <w:numId w:val="0"/>
      </w:numPr>
      <w:tabs>
        <w:tab w:val="right" w:leader="dot" w:pos="6521"/>
      </w:tabs>
      <w:spacing w:before="0" w:after="0"/>
    </w:pPr>
  </w:style>
  <w:style w:type="paragraph" w:customStyle="1" w:styleId="TOFTitle">
    <w:name w:val="TOFTitle"/>
    <w:basedOn w:val="TOCTitle"/>
    <w:rsid w:val="002D55A6"/>
  </w:style>
  <w:style w:type="paragraph" w:styleId="TableofFigures">
    <w:name w:val="table of figures"/>
    <w:basedOn w:val="Normal"/>
    <w:next w:val="Normal"/>
    <w:semiHidden/>
    <w:rsid w:val="002D55A6"/>
    <w:pPr>
      <w:tabs>
        <w:tab w:val="right" w:leader="dot" w:pos="9072"/>
      </w:tabs>
      <w:ind w:left="970" w:hanging="403"/>
    </w:pPr>
    <w:rPr>
      <w:rFonts w:ascii="Times New Roman" w:hAnsi="Times New Roman"/>
      <w:b/>
    </w:rPr>
  </w:style>
  <w:style w:type="paragraph" w:styleId="ListNumber">
    <w:name w:val="List Number"/>
    <w:basedOn w:val="List"/>
    <w:rsid w:val="002D55A6"/>
    <w:pPr>
      <w:numPr>
        <w:numId w:val="15"/>
      </w:numPr>
      <w:tabs>
        <w:tab w:val="clear" w:pos="340"/>
      </w:tabs>
    </w:pPr>
  </w:style>
  <w:style w:type="character" w:customStyle="1" w:styleId="WingdingSymbols">
    <w:name w:val="Wingding Symbols"/>
    <w:rsid w:val="002D55A6"/>
    <w:rPr>
      <w:rFonts w:ascii="Wingdings" w:hAnsi="Wingdings"/>
    </w:rPr>
  </w:style>
  <w:style w:type="paragraph" w:customStyle="1" w:styleId="TableHeading">
    <w:name w:val="Table Heading"/>
    <w:basedOn w:val="HeadingBase"/>
    <w:rsid w:val="002D55A6"/>
    <w:pPr>
      <w:keepLines/>
      <w:pBdr>
        <w:bottom w:val="single" w:sz="6" w:space="1" w:color="918585"/>
      </w:pBdr>
      <w:spacing w:before="240"/>
    </w:pPr>
  </w:style>
  <w:style w:type="character" w:customStyle="1" w:styleId="HotSpot">
    <w:name w:val="HotSpot"/>
    <w:rsid w:val="002D55A6"/>
    <w:rPr>
      <w:color w:val="0033CC"/>
      <w:u w:val="none"/>
    </w:rPr>
  </w:style>
  <w:style w:type="paragraph" w:customStyle="1" w:styleId="BodyTextRight">
    <w:name w:val="Body Text Right"/>
    <w:basedOn w:val="BodyText"/>
    <w:rsid w:val="002D55A6"/>
    <w:pPr>
      <w:spacing w:before="0" w:after="0"/>
      <w:jc w:val="right"/>
    </w:pPr>
  </w:style>
  <w:style w:type="paragraph" w:styleId="Index3">
    <w:name w:val="index 3"/>
    <w:basedOn w:val="ListNumber2"/>
    <w:next w:val="Normal"/>
    <w:semiHidden/>
    <w:rsid w:val="002D55A6"/>
    <w:pPr>
      <w:numPr>
        <w:numId w:val="0"/>
      </w:numPr>
      <w:tabs>
        <w:tab w:val="right" w:leader="dot" w:pos="4176"/>
      </w:tabs>
    </w:pPr>
  </w:style>
  <w:style w:type="paragraph" w:styleId="ListNumber2">
    <w:name w:val="List Number 2"/>
    <w:basedOn w:val="List2"/>
    <w:rsid w:val="002D55A6"/>
    <w:pPr>
      <w:numPr>
        <w:numId w:val="10"/>
      </w:numPr>
      <w:tabs>
        <w:tab w:val="clear" w:pos="1060"/>
      </w:tabs>
    </w:pPr>
  </w:style>
  <w:style w:type="paragraph" w:customStyle="1" w:styleId="MarginNote">
    <w:name w:val="Margin Note"/>
    <w:basedOn w:val="BodyText"/>
    <w:rsid w:val="002D55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55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55A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D55A6"/>
    <w:rPr>
      <w:sz w:val="32"/>
    </w:rPr>
  </w:style>
  <w:style w:type="paragraph" w:customStyle="1" w:styleId="HeadingProcedure">
    <w:name w:val="Heading Procedure"/>
    <w:basedOn w:val="HeadingBase"/>
    <w:next w:val="Normal"/>
    <w:rsid w:val="002D55A6"/>
    <w:pPr>
      <w:tabs>
        <w:tab w:val="left" w:pos="0"/>
      </w:tabs>
      <w:spacing w:before="120" w:after="60"/>
    </w:pPr>
    <w:rPr>
      <w:i/>
      <w:color w:val="918585"/>
      <w:sz w:val="22"/>
    </w:rPr>
  </w:style>
  <w:style w:type="paragraph" w:customStyle="1" w:styleId="TableBodyText">
    <w:name w:val="Table Body Text"/>
    <w:basedOn w:val="BodyText"/>
    <w:rsid w:val="002D55A6"/>
    <w:pPr>
      <w:spacing w:before="60" w:after="60"/>
    </w:pPr>
  </w:style>
  <w:style w:type="paragraph" w:styleId="ListContinue">
    <w:name w:val="List Continue"/>
    <w:basedOn w:val="List"/>
    <w:rsid w:val="002D55A6"/>
    <w:pPr>
      <w:ind w:firstLine="0"/>
    </w:pPr>
  </w:style>
  <w:style w:type="paragraph" w:customStyle="1" w:styleId="ListNote">
    <w:name w:val="List Note"/>
    <w:basedOn w:val="List"/>
    <w:rsid w:val="002D55A6"/>
    <w:pPr>
      <w:pBdr>
        <w:top w:val="single" w:sz="6" w:space="2" w:color="918585"/>
        <w:bottom w:val="single" w:sz="6" w:space="2" w:color="918585"/>
      </w:pBdr>
      <w:tabs>
        <w:tab w:val="left" w:pos="1021"/>
      </w:tabs>
      <w:ind w:firstLine="0"/>
    </w:pPr>
  </w:style>
  <w:style w:type="paragraph" w:customStyle="1" w:styleId="Warning">
    <w:name w:val="Warning"/>
    <w:basedOn w:val="BodyText"/>
    <w:rsid w:val="002D55A6"/>
    <w:pPr>
      <w:shd w:val="clear" w:color="auto" w:fill="D9D9D9"/>
      <w:tabs>
        <w:tab w:val="left" w:pos="992"/>
      </w:tabs>
      <w:ind w:left="119" w:right="119"/>
    </w:pPr>
    <w:rPr>
      <w:sz w:val="20"/>
    </w:rPr>
  </w:style>
  <w:style w:type="paragraph" w:customStyle="1" w:styleId="MarginIcons">
    <w:name w:val="Margin Icons"/>
    <w:basedOn w:val="BodyText"/>
    <w:rsid w:val="002D55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55A6"/>
    <w:rPr>
      <w:rFonts w:ascii="Courier New" w:hAnsi="Courier New"/>
    </w:rPr>
  </w:style>
  <w:style w:type="paragraph" w:customStyle="1" w:styleId="NoteBullet">
    <w:name w:val="Note Bullet"/>
    <w:basedOn w:val="Note"/>
    <w:rsid w:val="002D55A6"/>
    <w:pPr>
      <w:tabs>
        <w:tab w:val="clear" w:pos="680"/>
      </w:tabs>
      <w:spacing w:before="60" w:after="60"/>
    </w:pPr>
  </w:style>
  <w:style w:type="paragraph" w:customStyle="1" w:styleId="SubHeading2">
    <w:name w:val="SubHeading2"/>
    <w:basedOn w:val="HeadingBase"/>
    <w:rsid w:val="002D55A6"/>
    <w:pPr>
      <w:spacing w:before="240" w:after="60"/>
    </w:pPr>
    <w:rPr>
      <w:sz w:val="20"/>
    </w:rPr>
  </w:style>
  <w:style w:type="paragraph" w:customStyle="1" w:styleId="SubHeading1">
    <w:name w:val="SubHeading1"/>
    <w:basedOn w:val="HeadingBase"/>
    <w:rsid w:val="002D55A6"/>
    <w:pPr>
      <w:spacing w:before="240" w:after="60"/>
    </w:pPr>
    <w:rPr>
      <w:color w:val="918585"/>
      <w:sz w:val="22"/>
    </w:rPr>
  </w:style>
  <w:style w:type="paragraph" w:customStyle="1" w:styleId="SideHeading">
    <w:name w:val="Side Heading"/>
    <w:basedOn w:val="HeadingBase"/>
    <w:rsid w:val="002D55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55A6"/>
    <w:pPr>
      <w:tabs>
        <w:tab w:val="num" w:pos="360"/>
      </w:tabs>
    </w:pPr>
  </w:style>
  <w:style w:type="paragraph" w:styleId="PlainText">
    <w:name w:val="Plain Text"/>
    <w:basedOn w:val="Normal"/>
    <w:link w:val="PlainTextChar"/>
    <w:rsid w:val="002D55A6"/>
    <w:rPr>
      <w:sz w:val="20"/>
    </w:rPr>
  </w:style>
  <w:style w:type="character" w:customStyle="1" w:styleId="PlainTextChar">
    <w:name w:val="Plain Text Char"/>
    <w:basedOn w:val="DefaultParagraphFont"/>
    <w:link w:val="PlainText"/>
    <w:rsid w:val="002D55A6"/>
    <w:rPr>
      <w:rFonts w:ascii="Courier New" w:eastAsia="Times New Roman" w:hAnsi="Courier New" w:cs="Times New Roman"/>
      <w:sz w:val="20"/>
      <w:szCs w:val="20"/>
      <w:lang w:eastAsia="en-US"/>
    </w:rPr>
  </w:style>
  <w:style w:type="character" w:customStyle="1" w:styleId="MenuOption">
    <w:name w:val="Menu Option"/>
    <w:basedOn w:val="DefaultParagraphFont"/>
    <w:rsid w:val="002D55A6"/>
    <w:rPr>
      <w:b/>
      <w:smallCaps/>
    </w:rPr>
  </w:style>
  <w:style w:type="paragraph" w:customStyle="1" w:styleId="TableListNumber">
    <w:name w:val="Table List Number"/>
    <w:basedOn w:val="ListNumber"/>
    <w:rsid w:val="002D55A6"/>
    <w:pPr>
      <w:numPr>
        <w:numId w:val="0"/>
      </w:numPr>
    </w:pPr>
  </w:style>
  <w:style w:type="paragraph" w:styleId="TOC4">
    <w:name w:val="toc 4"/>
    <w:basedOn w:val="TOCBase"/>
    <w:next w:val="Normal"/>
    <w:semiHidden/>
    <w:rsid w:val="002D55A6"/>
    <w:pPr>
      <w:tabs>
        <w:tab w:val="right" w:leader="dot" w:pos="9071"/>
      </w:tabs>
      <w:ind w:left="1701"/>
    </w:pPr>
  </w:style>
  <w:style w:type="paragraph" w:customStyle="1" w:styleId="ListAlpha">
    <w:name w:val="List Alpha"/>
    <w:basedOn w:val="List"/>
    <w:rsid w:val="002D55A6"/>
    <w:pPr>
      <w:numPr>
        <w:numId w:val="9"/>
      </w:numPr>
    </w:pPr>
  </w:style>
  <w:style w:type="paragraph" w:customStyle="1" w:styleId="ListAlpha2">
    <w:name w:val="List Alpha 2"/>
    <w:basedOn w:val="List2"/>
    <w:rsid w:val="002D55A6"/>
    <w:pPr>
      <w:numPr>
        <w:numId w:val="8"/>
      </w:numPr>
    </w:pPr>
  </w:style>
  <w:style w:type="paragraph" w:styleId="List2">
    <w:name w:val="List 2"/>
    <w:basedOn w:val="BodyText"/>
    <w:rsid w:val="002D55A6"/>
    <w:pPr>
      <w:tabs>
        <w:tab w:val="left" w:pos="680"/>
      </w:tabs>
      <w:spacing w:before="60" w:after="60"/>
      <w:ind w:left="680" w:hanging="340"/>
    </w:pPr>
  </w:style>
  <w:style w:type="paragraph" w:styleId="List3">
    <w:name w:val="List 3"/>
    <w:basedOn w:val="BodyText"/>
    <w:rsid w:val="002D55A6"/>
    <w:pPr>
      <w:tabs>
        <w:tab w:val="left" w:pos="1021"/>
      </w:tabs>
      <w:spacing w:before="60" w:after="60"/>
      <w:ind w:left="1020" w:hanging="340"/>
    </w:pPr>
  </w:style>
  <w:style w:type="paragraph" w:styleId="List4">
    <w:name w:val="List 4"/>
    <w:basedOn w:val="BodyText"/>
    <w:rsid w:val="002D55A6"/>
    <w:pPr>
      <w:tabs>
        <w:tab w:val="left" w:pos="1361"/>
      </w:tabs>
      <w:spacing w:before="60" w:after="60"/>
      <w:ind w:left="1361" w:hanging="340"/>
    </w:pPr>
  </w:style>
  <w:style w:type="paragraph" w:styleId="List5">
    <w:name w:val="List 5"/>
    <w:basedOn w:val="BodyText"/>
    <w:rsid w:val="002D55A6"/>
    <w:pPr>
      <w:tabs>
        <w:tab w:val="left" w:pos="1701"/>
      </w:tabs>
      <w:spacing w:before="60" w:after="60"/>
      <w:ind w:left="1701" w:hanging="340"/>
    </w:pPr>
  </w:style>
  <w:style w:type="paragraph" w:styleId="ListBullet3">
    <w:name w:val="List Bullet 3"/>
    <w:basedOn w:val="List3"/>
    <w:rsid w:val="002D55A6"/>
    <w:pPr>
      <w:numPr>
        <w:numId w:val="14"/>
      </w:numPr>
      <w:tabs>
        <w:tab w:val="clear" w:pos="1021"/>
      </w:tabs>
      <w:ind w:left="1037" w:hanging="357"/>
    </w:pPr>
  </w:style>
  <w:style w:type="paragraph" w:styleId="ListBullet4">
    <w:name w:val="List Bullet 4"/>
    <w:basedOn w:val="List4"/>
    <w:rsid w:val="002D55A6"/>
    <w:pPr>
      <w:numPr>
        <w:numId w:val="3"/>
      </w:numPr>
      <w:tabs>
        <w:tab w:val="clear" w:pos="1361"/>
      </w:tabs>
    </w:pPr>
  </w:style>
  <w:style w:type="paragraph" w:styleId="ListBullet5">
    <w:name w:val="List Bullet 5"/>
    <w:basedOn w:val="List5"/>
    <w:rsid w:val="002D55A6"/>
    <w:pPr>
      <w:numPr>
        <w:numId w:val="4"/>
      </w:numPr>
    </w:pPr>
  </w:style>
  <w:style w:type="paragraph" w:styleId="ListContinue2">
    <w:name w:val="List Continue 2"/>
    <w:basedOn w:val="List2"/>
    <w:rsid w:val="002D55A6"/>
    <w:pPr>
      <w:ind w:firstLine="0"/>
    </w:pPr>
  </w:style>
  <w:style w:type="paragraph" w:styleId="ListContinue3">
    <w:name w:val="List Continue 3"/>
    <w:basedOn w:val="List3"/>
    <w:rsid w:val="002D55A6"/>
    <w:pPr>
      <w:ind w:left="1021" w:firstLine="0"/>
    </w:pPr>
  </w:style>
  <w:style w:type="paragraph" w:styleId="ListContinue4">
    <w:name w:val="List Continue 4"/>
    <w:basedOn w:val="List4"/>
    <w:rsid w:val="002D55A6"/>
    <w:pPr>
      <w:ind w:firstLine="0"/>
    </w:pPr>
  </w:style>
  <w:style w:type="paragraph" w:styleId="ListContinue5">
    <w:name w:val="List Continue 5"/>
    <w:basedOn w:val="List5"/>
    <w:rsid w:val="002D55A6"/>
    <w:pPr>
      <w:ind w:firstLine="0"/>
    </w:pPr>
  </w:style>
  <w:style w:type="paragraph" w:styleId="ListNumber3">
    <w:name w:val="List Number 3"/>
    <w:basedOn w:val="List3"/>
    <w:rsid w:val="002D55A6"/>
    <w:pPr>
      <w:numPr>
        <w:numId w:val="5"/>
      </w:numPr>
    </w:pPr>
  </w:style>
  <w:style w:type="paragraph" w:styleId="ListNumber4">
    <w:name w:val="List Number 4"/>
    <w:basedOn w:val="List4"/>
    <w:rsid w:val="002D55A6"/>
    <w:pPr>
      <w:numPr>
        <w:numId w:val="6"/>
      </w:numPr>
    </w:pPr>
  </w:style>
  <w:style w:type="paragraph" w:styleId="ListNumber5">
    <w:name w:val="List Number 5"/>
    <w:basedOn w:val="List5"/>
    <w:rsid w:val="002D55A6"/>
    <w:pPr>
      <w:numPr>
        <w:numId w:val="7"/>
      </w:numPr>
    </w:pPr>
  </w:style>
  <w:style w:type="paragraph" w:styleId="BlockText">
    <w:name w:val="Block Text"/>
    <w:basedOn w:val="Normal"/>
    <w:rsid w:val="002D55A6"/>
    <w:pPr>
      <w:spacing w:after="120"/>
      <w:ind w:left="1440" w:right="1440"/>
    </w:pPr>
  </w:style>
  <w:style w:type="character" w:customStyle="1" w:styleId="Subscript">
    <w:name w:val="Subscript"/>
    <w:basedOn w:val="DefaultParagraphFont"/>
    <w:rsid w:val="002D55A6"/>
    <w:rPr>
      <w:sz w:val="16"/>
      <w:vertAlign w:val="subscript"/>
    </w:rPr>
  </w:style>
  <w:style w:type="character" w:customStyle="1" w:styleId="Superscript">
    <w:name w:val="Superscript"/>
    <w:basedOn w:val="DefaultParagraphFont"/>
    <w:rsid w:val="002D55A6"/>
    <w:rPr>
      <w:sz w:val="16"/>
      <w:vertAlign w:val="superscript"/>
    </w:rPr>
  </w:style>
  <w:style w:type="character" w:customStyle="1" w:styleId="Symbols">
    <w:name w:val="Symbols"/>
    <w:basedOn w:val="DefaultParagraphFont"/>
    <w:rsid w:val="002D55A6"/>
    <w:rPr>
      <w:rFonts w:ascii="Symbol" w:hAnsi="Symbol"/>
    </w:rPr>
  </w:style>
  <w:style w:type="character" w:customStyle="1" w:styleId="MenuOptions">
    <w:name w:val="Menu Options"/>
    <w:basedOn w:val="DefaultParagraphFont"/>
    <w:rsid w:val="002D55A6"/>
    <w:rPr>
      <w:rFonts w:ascii="Arial Narrow" w:hAnsi="Arial Narrow"/>
      <w:smallCaps/>
    </w:rPr>
  </w:style>
  <w:style w:type="character" w:customStyle="1" w:styleId="Buttons">
    <w:name w:val="Buttons"/>
    <w:basedOn w:val="DefaultParagraphFont"/>
    <w:rsid w:val="002D55A6"/>
    <w:rPr>
      <w:b/>
    </w:rPr>
  </w:style>
  <w:style w:type="character" w:customStyle="1" w:styleId="Underlined">
    <w:name w:val="Underlined"/>
    <w:basedOn w:val="DefaultParagraphFont"/>
    <w:rsid w:val="002D55A6"/>
    <w:rPr>
      <w:u w:val="single"/>
    </w:rPr>
  </w:style>
  <w:style w:type="paragraph" w:customStyle="1" w:styleId="TableBodyTextRight">
    <w:name w:val="Table Body Text Right"/>
    <w:basedOn w:val="TableBodyText"/>
    <w:rsid w:val="002D55A6"/>
    <w:pPr>
      <w:widowControl w:val="0"/>
      <w:autoSpaceDE w:val="0"/>
      <w:autoSpaceDN w:val="0"/>
      <w:adjustRightInd w:val="0"/>
      <w:jc w:val="right"/>
    </w:pPr>
    <w:rPr>
      <w:rFonts w:cs="Arial"/>
      <w:szCs w:val="18"/>
    </w:rPr>
  </w:style>
  <w:style w:type="paragraph" w:customStyle="1" w:styleId="CopyrightText">
    <w:name w:val="Copyright Text"/>
    <w:basedOn w:val="BodyText"/>
    <w:rsid w:val="002D55A6"/>
    <w:rPr>
      <w:sz w:val="18"/>
    </w:rPr>
  </w:style>
  <w:style w:type="paragraph" w:customStyle="1" w:styleId="BodySmallRight">
    <w:name w:val="Body Small Right"/>
    <w:basedOn w:val="BodyTextRight"/>
    <w:rsid w:val="002D55A6"/>
    <w:rPr>
      <w:sz w:val="18"/>
      <w:szCs w:val="18"/>
    </w:rPr>
  </w:style>
  <w:style w:type="paragraph" w:customStyle="1" w:styleId="MarginEdition">
    <w:name w:val="Margin Edition"/>
    <w:basedOn w:val="MarginNote"/>
    <w:rsid w:val="002D55A6"/>
    <w:pPr>
      <w:spacing w:before="0" w:after="0"/>
    </w:pPr>
    <w:rPr>
      <w:rFonts w:ascii="Times New Roman" w:hAnsi="Times New Roman"/>
      <w:color w:val="999999"/>
    </w:rPr>
  </w:style>
  <w:style w:type="paragraph" w:customStyle="1" w:styleId="Spacer">
    <w:name w:val="Spacer"/>
    <w:basedOn w:val="Normal"/>
    <w:rsid w:val="002D55A6"/>
    <w:rPr>
      <w:sz w:val="2"/>
      <w:szCs w:val="2"/>
    </w:rPr>
  </w:style>
  <w:style w:type="character" w:customStyle="1" w:styleId="Small">
    <w:name w:val="Small"/>
    <w:basedOn w:val="DefaultParagraphFont"/>
    <w:rsid w:val="002D55A6"/>
    <w:rPr>
      <w:sz w:val="16"/>
    </w:rPr>
  </w:style>
  <w:style w:type="paragraph" w:customStyle="1" w:styleId="WideTable">
    <w:name w:val="Wide Table"/>
    <w:basedOn w:val="Normal"/>
    <w:rsid w:val="002D55A6"/>
    <w:pPr>
      <w:ind w:left="-1418"/>
    </w:pPr>
    <w:rPr>
      <w:sz w:val="2"/>
      <w:szCs w:val="2"/>
    </w:rPr>
  </w:style>
  <w:style w:type="character" w:styleId="PageNumber">
    <w:name w:val="page number"/>
    <w:basedOn w:val="DefaultParagraphFont"/>
    <w:rsid w:val="002D55A6"/>
  </w:style>
  <w:style w:type="paragraph" w:styleId="Quote">
    <w:name w:val="Quote"/>
    <w:basedOn w:val="Heading1"/>
    <w:link w:val="QuoteChar"/>
    <w:qFormat/>
    <w:rsid w:val="002D55A6"/>
    <w:rPr>
      <w:b w:val="0"/>
      <w:sz w:val="72"/>
      <w:szCs w:val="72"/>
      <w:lang w:val="en-NZ"/>
    </w:rPr>
  </w:style>
  <w:style w:type="character" w:customStyle="1" w:styleId="QuoteChar">
    <w:name w:val="Quote Char"/>
    <w:basedOn w:val="DefaultParagraphFont"/>
    <w:link w:val="Quote"/>
    <w:rsid w:val="002D55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55A6"/>
    <w:pPr>
      <w:pageBreakBefore/>
    </w:pPr>
  </w:style>
  <w:style w:type="paragraph" w:customStyle="1" w:styleId="Border">
    <w:name w:val="Border"/>
    <w:basedOn w:val="Normal"/>
    <w:qFormat/>
    <w:rsid w:val="002D55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55A6"/>
    <w:rPr>
      <w:b/>
      <w:bCs/>
      <w:i/>
      <w:iCs/>
      <w:color w:val="auto"/>
    </w:rPr>
  </w:style>
  <w:style w:type="paragraph" w:styleId="IntenseQuote">
    <w:name w:val="Intense Quote"/>
    <w:basedOn w:val="Normal"/>
    <w:next w:val="Normal"/>
    <w:link w:val="IntenseQuoteChar"/>
    <w:uiPriority w:val="30"/>
    <w:qFormat/>
    <w:rsid w:val="002D55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55A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D55A6"/>
    <w:rPr>
      <w:smallCaps/>
      <w:color w:val="auto"/>
      <w:u w:val="single"/>
    </w:rPr>
  </w:style>
  <w:style w:type="character" w:styleId="IntenseReference">
    <w:name w:val="Intense Reference"/>
    <w:basedOn w:val="DefaultParagraphFont"/>
    <w:uiPriority w:val="32"/>
    <w:qFormat/>
    <w:rsid w:val="002D55A6"/>
    <w:rPr>
      <w:b/>
      <w:bCs/>
      <w:smallCaps/>
      <w:color w:val="auto"/>
      <w:spacing w:val="5"/>
      <w:u w:val="single"/>
    </w:rPr>
  </w:style>
  <w:style w:type="paragraph" w:customStyle="1" w:styleId="2ColumnHeading">
    <w:name w:val="2Column Heading"/>
    <w:basedOn w:val="BodyText"/>
    <w:qFormat/>
    <w:rsid w:val="002D55A6"/>
    <w:pPr>
      <w:spacing w:after="60"/>
      <w:ind w:left="-2268"/>
    </w:pPr>
    <w:rPr>
      <w:b/>
    </w:rPr>
  </w:style>
  <w:style w:type="paragraph" w:customStyle="1" w:styleId="Heading1TOC">
    <w:name w:val="Heading1 TOC"/>
    <w:basedOn w:val="Normal"/>
    <w:qFormat/>
    <w:rsid w:val="002D55A6"/>
    <w:pPr>
      <w:spacing w:before="240" w:after="120"/>
    </w:pPr>
    <w:rPr>
      <w:rFonts w:ascii="Times New Roman" w:hAnsi="Times New Roman"/>
      <w:b/>
      <w:sz w:val="32"/>
    </w:rPr>
  </w:style>
  <w:style w:type="paragraph" w:customStyle="1" w:styleId="Heading2TOC">
    <w:name w:val="Heading2 TOC"/>
    <w:basedOn w:val="Normal"/>
    <w:qFormat/>
    <w:rsid w:val="002D55A6"/>
    <w:pPr>
      <w:spacing w:before="240" w:after="60"/>
    </w:pPr>
    <w:rPr>
      <w:rFonts w:ascii="Times New Roman" w:hAnsi="Times New Roman"/>
      <w:b/>
      <w:sz w:val="28"/>
    </w:rPr>
  </w:style>
  <w:style w:type="character" w:customStyle="1" w:styleId="Underline">
    <w:name w:val="Underline"/>
    <w:basedOn w:val="DefaultParagraphFont"/>
    <w:qFormat/>
    <w:rsid w:val="002D55A6"/>
    <w:rPr>
      <w:u w:val="single"/>
    </w:rPr>
  </w:style>
  <w:style w:type="character" w:customStyle="1" w:styleId="BoldandItalics">
    <w:name w:val="Bold and Italics"/>
    <w:qFormat/>
    <w:rsid w:val="002D55A6"/>
    <w:rPr>
      <w:b/>
      <w:i/>
      <w:u w:val="none"/>
    </w:rPr>
  </w:style>
  <w:style w:type="paragraph" w:styleId="BalloonText">
    <w:name w:val="Balloon Text"/>
    <w:basedOn w:val="Normal"/>
    <w:link w:val="BalloonTextChar"/>
    <w:rsid w:val="002D55A6"/>
    <w:rPr>
      <w:rFonts w:ascii="Tahoma" w:hAnsi="Tahoma" w:cs="Tahoma"/>
      <w:sz w:val="16"/>
      <w:szCs w:val="16"/>
    </w:rPr>
  </w:style>
  <w:style w:type="character" w:customStyle="1" w:styleId="BalloonTextChar">
    <w:name w:val="Balloon Text Char"/>
    <w:basedOn w:val="DefaultParagraphFont"/>
    <w:link w:val="BalloonText"/>
    <w:rsid w:val="002D55A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D55A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D55A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D55A6"/>
    <w:rPr>
      <w:b/>
      <w:color w:val="660033"/>
      <w:spacing w:val="0"/>
    </w:rPr>
  </w:style>
  <w:style w:type="paragraph" w:customStyle="1" w:styleId="Nameditemlist">
    <w:name w:val="Named item list"/>
    <w:basedOn w:val="BodyText"/>
    <w:qFormat/>
    <w:rsid w:val="002D55A6"/>
    <w:pPr>
      <w:tabs>
        <w:tab w:val="left" w:pos="2835"/>
      </w:tabs>
      <w:ind w:left="2835" w:hanging="2835"/>
    </w:pPr>
  </w:style>
  <w:style w:type="paragraph" w:customStyle="1" w:styleId="BodyTextnopadding">
    <w:name w:val="Body Text no padding"/>
    <w:basedOn w:val="BodyText"/>
    <w:qFormat/>
    <w:rsid w:val="002D55A6"/>
    <w:pPr>
      <w:spacing w:before="0" w:after="0"/>
    </w:pPr>
  </w:style>
  <w:style w:type="paragraph" w:customStyle="1" w:styleId="BodyTextBold">
    <w:name w:val="Body Text Bold"/>
    <w:basedOn w:val="BodyText"/>
    <w:qFormat/>
    <w:rsid w:val="002D55A6"/>
    <w:rPr>
      <w:b/>
    </w:rPr>
  </w:style>
  <w:style w:type="character" w:styleId="Hyperlink">
    <w:name w:val="Hyperlink"/>
    <w:basedOn w:val="DefaultParagraphFont"/>
    <w:uiPriority w:val="99"/>
    <w:unhideWhenUsed/>
    <w:rsid w:val="006251F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1398</Words>
  <Characters>8994</Characters>
  <Application>Microsoft Office Word</Application>
  <DocSecurity>0</DocSecurity>
  <Lines>321</Lines>
  <Paragraphs>188</Paragraphs>
  <ScaleCrop>false</ScaleCrop>
  <Company>Author-it Software Corporation Ltd.</Company>
  <LinksUpToDate>false</LinksUpToDate>
  <CharactersWithSpaces>10204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MSFFL2025 Install impact and sound absorption underlay</dc:title>
  <dc:subject>Approved</dc:subject>
  <dc:creator>Skills Insight</dc:creator>
  <cp:keywords>Release: 2</cp:keywords>
  <dc:description>Review Date: 12 April 2008</dc:description>
  <cp:lastModifiedBy>HSD_TPCMSd.prod</cp:lastModifiedBy>
  <cp:revision>3</cp:revision>
  <dcterms:created xsi:type="dcterms:W3CDTF">2025-03-01T13:38:00Z</dcterms:created>
  <dcterms:modified xsi:type="dcterms:W3CDTF">2025-03-01T13:38:00Z</dcterms:modified>
</cp:coreProperties>
</file>