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308E" w:rsidP="00F1308E">
      <w:pPr>
        <w:pStyle w:val="Title"/>
      </w:pPr>
      <w:r>
        <w:fldChar w:fldCharType="begin"/>
      </w:r>
      <w:r>
        <w:instrText xml:space="preserve"> TITLE   \* MERGEFORMAT </w:instrText>
      </w:r>
      <w:r>
        <w:fldChar w:fldCharType="separate"/>
      </w:r>
      <w:r>
        <w:t>MSFFL2023 Install laminate timber and bamboo flooring</w:t>
      </w:r>
      <w:r>
        <w:fldChar w:fldCharType="end"/>
      </w:r>
    </w:p>
    <w:p w:rsidR="00F1308E" w:rsidP="00F1308E">
      <w:pPr>
        <w:pStyle w:val="Version"/>
        <w:sectPr w:rsidSect="003F169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F169E" w:rsidP="003F169E">
      <w:pPr>
        <w:pStyle w:val="SuperHeading"/>
      </w:pPr>
      <w:r w:rsidRPr="003F169E">
        <w:t>MSFFL2023 Install laminate timber and bamboo flooring</w:t>
      </w:r>
    </w:p>
    <w:p w:rsidR="00000000" w:rsidRPr="003F169E" w:rsidP="003F169E">
      <w:pPr>
        <w:pStyle w:val="Heading1"/>
      </w:pPr>
      <w:bookmarkStart w:id="1" w:name="O_641060"/>
      <w:bookmarkEnd w:id="1"/>
      <w:r w:rsidRPr="003F169E">
        <w:t>Modification History</w:t>
      </w:r>
    </w:p>
    <w:p w:rsidR="00000000" w:rsidRPr="003F169E" w:rsidP="003F169E">
      <w:pPr>
        <w:pStyle w:val="BodyText"/>
      </w:pPr>
      <w:r w:rsidRPr="003F169E">
        <w:t>Release 2 - Mapping corrected - supersedes and is not equivalent to LMFFL2501A</w:t>
      </w:r>
    </w:p>
    <w:p w:rsidR="00000000" w:rsidRPr="003F169E" w:rsidP="003F169E">
      <w:pPr>
        <w:pStyle w:val="BodyText"/>
      </w:pPr>
      <w:r w:rsidRPr="003F169E">
        <w:t>Release 1 - New unit of competency</w:t>
      </w:r>
    </w:p>
    <w:p w:rsidR="00000000" w:rsidRPr="003F169E" w:rsidP="003F169E">
      <w:pPr>
        <w:pStyle w:val="AllowPageBreak"/>
      </w:pPr>
    </w:p>
    <w:p w:rsidR="00000000" w:rsidRPr="003F169E" w:rsidP="003F169E">
      <w:pPr>
        <w:pStyle w:val="Heading1"/>
      </w:pPr>
      <w:bookmarkStart w:id="2" w:name="O_641059"/>
      <w:bookmarkEnd w:id="2"/>
      <w:r w:rsidRPr="003F169E">
        <w:t>Application</w:t>
      </w:r>
    </w:p>
    <w:p w:rsidR="00000000" w:rsidRPr="003F169E" w:rsidP="003F169E">
      <w:pPr>
        <w:pStyle w:val="BodyText"/>
      </w:pPr>
      <w:r w:rsidRPr="003F169E">
        <w:t>This unit of competency covers floating a laminate, pre-finished timber or bamboo fl</w:t>
      </w:r>
      <w:r w:rsidRPr="003F169E">
        <w:t>oor within a space over a soft underlay, including preparation, cutting, laying and fixing. It applies to a variety of flooring technology installation operations in an on-site environment and involves application of skills and knowledge at the sub-trade w</w:t>
      </w:r>
      <w:r w:rsidRPr="003F169E">
        <w:t>orker level.</w:t>
      </w:r>
    </w:p>
    <w:p w:rsidR="00000000" w:rsidRPr="003F169E" w:rsidP="003F169E">
      <w:pPr>
        <w:pStyle w:val="BodyText"/>
      </w:pPr>
    </w:p>
    <w:p w:rsidR="00000000" w:rsidRPr="003F169E" w:rsidP="003F169E">
      <w:pPr>
        <w:pStyle w:val="BodyText"/>
      </w:pPr>
      <w:r w:rsidRPr="003F169E">
        <w:t>Licensing, legislative or certification requirements may apply to this unit and relevant state/territory and local government agencies should be consulted to determine any necessary certification or licensing for undertaking flooring work. Ac</w:t>
      </w:r>
      <w:r w:rsidRPr="003F169E">
        <w:t>cess to construction sites requires certification of general induction training specified by the National Code of Practice for Induction for Construction Work (ASCC 2007).</w:t>
      </w:r>
    </w:p>
    <w:p w:rsidR="00000000" w:rsidRPr="003F169E" w:rsidP="003F169E">
      <w:pPr>
        <w:pStyle w:val="AllowPageBreak"/>
      </w:pPr>
    </w:p>
    <w:p w:rsidR="00000000" w:rsidRPr="003F169E" w:rsidP="003F169E">
      <w:pPr>
        <w:pStyle w:val="Heading1"/>
      </w:pPr>
      <w:bookmarkStart w:id="3" w:name="O_641058"/>
      <w:bookmarkEnd w:id="3"/>
      <w:r w:rsidRPr="003F169E">
        <w:t>Pre-requisite Unit</w:t>
      </w:r>
    </w:p>
    <w:p w:rsidR="00000000" w:rsidRPr="003F169E" w:rsidP="003F169E">
      <w:pPr>
        <w:pStyle w:val="Heading1"/>
      </w:pPr>
      <w:bookmarkStart w:id="4" w:name="O_641057"/>
      <w:bookmarkEnd w:id="4"/>
      <w:r w:rsidRPr="003F169E">
        <w:t>Competency Field</w:t>
      </w:r>
    </w:p>
    <w:p w:rsidR="00000000" w:rsidRPr="003F169E" w:rsidP="003F169E">
      <w:pPr>
        <w:pStyle w:val="Heading1"/>
      </w:pPr>
      <w:bookmarkStart w:id="5" w:name="O_641056"/>
      <w:bookmarkEnd w:id="5"/>
      <w:r w:rsidRPr="003F169E">
        <w:t>Unit Sector</w:t>
      </w:r>
    </w:p>
    <w:p w:rsidR="00000000" w:rsidRPr="003F169E" w:rsidP="003F169E">
      <w:pPr>
        <w:pStyle w:val="BodyText"/>
      </w:pPr>
      <w:r w:rsidRPr="003F169E">
        <w:t>Flooring technology</w:t>
      </w:r>
    </w:p>
    <w:p w:rsidR="00000000" w:rsidRPr="003F169E" w:rsidP="003F169E">
      <w:pPr>
        <w:pStyle w:val="AllowPageBreak"/>
      </w:pPr>
    </w:p>
    <w:p w:rsidR="00000000" w:rsidRPr="003F169E" w:rsidP="003F169E">
      <w:pPr>
        <w:pStyle w:val="Heading1"/>
      </w:pPr>
      <w:bookmarkStart w:id="6" w:name="O_641055"/>
      <w:bookmarkEnd w:id="6"/>
      <w:r w:rsidRPr="003F169E">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3F169E">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3F169E">
            <w:pPr>
              <w:pStyle w:val="BodyText"/>
              <w:rPr>
                <w:lang w:val="en-NZ"/>
              </w:rPr>
            </w:pPr>
            <w:r w:rsidRPr="003F169E">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3F169E">
            <w:pPr>
              <w:pStyle w:val="BodyText"/>
              <w:rPr>
                <w:lang w:val="en-NZ"/>
              </w:rPr>
            </w:pPr>
            <w:r w:rsidRPr="003F169E">
              <w:t>Performance criteria describe the performance needed to demonstrate achievement of the element.</w:t>
            </w:r>
          </w:p>
        </w:tc>
      </w:tr>
      <w:tr w:rsidTr="003F169E">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3F169E">
            <w:pPr>
              <w:pStyle w:val="BodyText"/>
              <w:rPr>
                <w:lang w:val="en-NZ"/>
              </w:rPr>
            </w:pPr>
            <w:r w:rsidRPr="003F169E">
              <w:t>1</w:t>
            </w:r>
          </w:p>
        </w:tc>
        <w:tc>
          <w:tcPr>
            <w:tcW w:w="1962" w:type="dxa"/>
            <w:vMerge w:val="restart"/>
            <w:tcBorders>
              <w:top w:val="nil"/>
              <w:left w:val="nil"/>
              <w:bottom w:val="nil"/>
              <w:right w:val="nil"/>
            </w:tcBorders>
            <w:tcMar>
              <w:top w:w="0" w:type="dxa"/>
              <w:left w:w="62" w:type="dxa"/>
              <w:bottom w:w="0" w:type="dxa"/>
              <w:right w:w="62" w:type="dxa"/>
            </w:tcMar>
          </w:tcPr>
          <w:p w:rsidR="00000000" w:rsidP="003F169E">
            <w:pPr>
              <w:pStyle w:val="BodyText"/>
              <w:rPr>
                <w:lang w:val="en-NZ"/>
              </w:rPr>
            </w:pPr>
            <w:r w:rsidRPr="003F169E">
              <w:t>Prepare materials for installation</w:t>
            </w:r>
          </w:p>
        </w:tc>
        <w:tc>
          <w:tcPr>
            <w:tcW w:w="770" w:type="dxa"/>
            <w:tcBorders>
              <w:top w:val="nil"/>
              <w:left w:val="nil"/>
              <w:bottom w:val="nil"/>
              <w:right w:val="nil"/>
            </w:tcBorders>
            <w:tcMar>
              <w:top w:w="0" w:type="dxa"/>
              <w:left w:w="62" w:type="dxa"/>
              <w:bottom w:w="0" w:type="dxa"/>
              <w:right w:w="62" w:type="dxa"/>
            </w:tcMar>
          </w:tcPr>
          <w:p w:rsidR="00000000" w:rsidP="003F169E">
            <w:pPr>
              <w:pStyle w:val="BodyText"/>
              <w:rPr>
                <w:lang w:val="en-NZ"/>
              </w:rPr>
            </w:pPr>
            <w:r w:rsidRPr="003F169E">
              <w:t>1.1</w:t>
            </w:r>
          </w:p>
        </w:tc>
        <w:tc>
          <w:tcPr>
            <w:tcW w:w="5610" w:type="dxa"/>
            <w:tcBorders>
              <w:top w:val="nil"/>
              <w:left w:val="nil"/>
              <w:bottom w:val="nil"/>
              <w:right w:val="nil"/>
            </w:tcBorders>
            <w:tcMar>
              <w:top w:w="0" w:type="dxa"/>
              <w:left w:w="62" w:type="dxa"/>
              <w:bottom w:w="0" w:type="dxa"/>
              <w:right w:w="62" w:type="dxa"/>
            </w:tcMar>
          </w:tcPr>
          <w:p w:rsidR="00000000" w:rsidP="003F169E">
            <w:pPr>
              <w:pStyle w:val="BodyText"/>
              <w:rPr>
                <w:lang w:val="en-NZ"/>
              </w:rPr>
            </w:pPr>
            <w:r w:rsidRPr="003F169E">
              <w:t>Applicable work health and safety (WHS), legislative and organisational requirements relevant to installing laminate timber and bamboo flooring are verified and complied with</w:t>
            </w:r>
          </w:p>
        </w:tc>
      </w:tr>
      <w:tr w:rsidTr="003F169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169E">
            <w:pPr>
              <w:pStyle w:val="BodyText"/>
              <w:rPr>
                <w:lang w:val="en-NZ"/>
              </w:rPr>
            </w:pPr>
            <w:r w:rsidRPr="003F169E">
              <w:t>1.2</w:t>
            </w:r>
          </w:p>
        </w:tc>
        <w:tc>
          <w:tcPr>
            <w:tcW w:w="5610" w:type="dxa"/>
            <w:tcBorders>
              <w:top w:val="nil"/>
              <w:left w:val="nil"/>
              <w:bottom w:val="nil"/>
              <w:right w:val="nil"/>
            </w:tcBorders>
            <w:tcMar>
              <w:top w:w="0" w:type="dxa"/>
              <w:left w:w="62" w:type="dxa"/>
              <w:bottom w:w="0" w:type="dxa"/>
              <w:right w:w="62" w:type="dxa"/>
            </w:tcMar>
          </w:tcPr>
          <w:p w:rsidR="00000000" w:rsidP="003F169E">
            <w:pPr>
              <w:pStyle w:val="BodyText"/>
              <w:rPr>
                <w:lang w:val="en-NZ"/>
              </w:rPr>
            </w:pPr>
            <w:r w:rsidRPr="003F169E">
              <w:t>WHS requirements, including persona</w:t>
            </w:r>
            <w:r w:rsidRPr="003F169E">
              <w:t>l protection needs, are observed throughout the work</w:t>
            </w:r>
          </w:p>
        </w:tc>
      </w:tr>
      <w:tr w:rsidTr="003F169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169E">
            <w:pPr>
              <w:pStyle w:val="BodyText"/>
              <w:rPr>
                <w:lang w:val="en-NZ"/>
              </w:rPr>
            </w:pPr>
            <w:r w:rsidRPr="003F169E">
              <w:t>1.3</w:t>
            </w:r>
          </w:p>
        </w:tc>
        <w:tc>
          <w:tcPr>
            <w:tcW w:w="5610" w:type="dxa"/>
            <w:tcBorders>
              <w:top w:val="nil"/>
              <w:left w:val="nil"/>
              <w:bottom w:val="nil"/>
              <w:right w:val="nil"/>
            </w:tcBorders>
            <w:tcMar>
              <w:top w:w="0" w:type="dxa"/>
              <w:left w:w="62" w:type="dxa"/>
              <w:bottom w:w="0" w:type="dxa"/>
              <w:right w:w="62" w:type="dxa"/>
            </w:tcMar>
          </w:tcPr>
          <w:p w:rsidR="00000000" w:rsidP="003F169E">
            <w:pPr>
              <w:pStyle w:val="BodyText"/>
              <w:rPr>
                <w:lang w:val="en-NZ"/>
              </w:rPr>
            </w:pPr>
            <w:r w:rsidRPr="003F169E">
              <w:t>Instructions and/or plans are read and interpreted to identify process required to complete work tasks</w:t>
            </w:r>
          </w:p>
        </w:tc>
      </w:tr>
      <w:tr w:rsidTr="003F169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169E">
            <w:pPr>
              <w:pStyle w:val="BodyText"/>
              <w:rPr>
                <w:lang w:val="en-NZ"/>
              </w:rPr>
            </w:pPr>
            <w:r w:rsidRPr="003F169E">
              <w:t>1.4</w:t>
            </w:r>
          </w:p>
        </w:tc>
        <w:tc>
          <w:tcPr>
            <w:tcW w:w="5610" w:type="dxa"/>
            <w:tcBorders>
              <w:top w:val="nil"/>
              <w:left w:val="nil"/>
              <w:bottom w:val="nil"/>
              <w:right w:val="nil"/>
            </w:tcBorders>
            <w:tcMar>
              <w:top w:w="0" w:type="dxa"/>
              <w:left w:w="62" w:type="dxa"/>
              <w:bottom w:w="0" w:type="dxa"/>
              <w:right w:w="62" w:type="dxa"/>
            </w:tcMar>
          </w:tcPr>
          <w:p w:rsidR="00000000" w:rsidP="003F169E">
            <w:pPr>
              <w:pStyle w:val="BodyText"/>
              <w:rPr>
                <w:lang w:val="en-NZ"/>
              </w:rPr>
            </w:pPr>
            <w:r w:rsidRPr="003F169E">
              <w:t xml:space="preserve">Sub-floor condition is assessed for suitability for installation of laminate timber or bamboo flooring </w:t>
            </w:r>
          </w:p>
        </w:tc>
      </w:tr>
      <w:tr w:rsidTr="003F169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169E">
            <w:pPr>
              <w:pStyle w:val="BodyText"/>
              <w:rPr>
                <w:lang w:val="en-NZ"/>
              </w:rPr>
            </w:pPr>
            <w:r w:rsidRPr="003F169E">
              <w:t>1.5</w:t>
            </w:r>
          </w:p>
        </w:tc>
        <w:tc>
          <w:tcPr>
            <w:tcW w:w="5610" w:type="dxa"/>
            <w:tcBorders>
              <w:top w:val="nil"/>
              <w:left w:val="nil"/>
              <w:bottom w:val="nil"/>
              <w:right w:val="nil"/>
            </w:tcBorders>
            <w:tcMar>
              <w:top w:w="0" w:type="dxa"/>
              <w:left w:w="62" w:type="dxa"/>
              <w:bottom w:w="0" w:type="dxa"/>
              <w:right w:w="62" w:type="dxa"/>
            </w:tcMar>
          </w:tcPr>
          <w:p w:rsidR="00000000" w:rsidP="003F169E">
            <w:pPr>
              <w:pStyle w:val="BodyText"/>
              <w:rPr>
                <w:lang w:val="en-NZ"/>
              </w:rPr>
            </w:pPr>
            <w:r w:rsidRPr="003F169E">
              <w:t xml:space="preserve">Tools, equipment and materials are selected and checked prior to use to ensure that they are appropriate for the work, serviceable and in a safe </w:t>
            </w:r>
            <w:r w:rsidRPr="003F169E">
              <w:t>condition</w:t>
            </w:r>
          </w:p>
        </w:tc>
      </w:tr>
      <w:tr w:rsidTr="003F169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169E">
            <w:pPr>
              <w:pStyle w:val="BodyText"/>
              <w:rPr>
                <w:lang w:val="en-NZ"/>
              </w:rPr>
            </w:pPr>
            <w:r w:rsidRPr="003F169E">
              <w:t>1.6</w:t>
            </w:r>
          </w:p>
        </w:tc>
        <w:tc>
          <w:tcPr>
            <w:tcW w:w="5610" w:type="dxa"/>
            <w:tcBorders>
              <w:top w:val="nil"/>
              <w:left w:val="nil"/>
              <w:bottom w:val="nil"/>
              <w:right w:val="nil"/>
            </w:tcBorders>
            <w:tcMar>
              <w:top w:w="0" w:type="dxa"/>
              <w:left w:w="62" w:type="dxa"/>
              <w:bottom w:w="0" w:type="dxa"/>
              <w:right w:w="62" w:type="dxa"/>
            </w:tcMar>
          </w:tcPr>
          <w:p w:rsidR="00000000" w:rsidP="003F169E">
            <w:pPr>
              <w:pStyle w:val="BodyText"/>
              <w:rPr>
                <w:lang w:val="en-NZ"/>
              </w:rPr>
            </w:pPr>
            <w:r w:rsidRPr="003F169E">
              <w:t>Sequence of work is planned, including the selection of a starting point, to ensure efficiency and quality of installation</w:t>
            </w:r>
          </w:p>
        </w:tc>
      </w:tr>
      <w:tr w:rsidTr="003F169E">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3F169E">
            <w:pPr>
              <w:pStyle w:val="BodyText"/>
              <w:rPr>
                <w:lang w:val="en-NZ"/>
              </w:rPr>
            </w:pPr>
            <w:r w:rsidRPr="003F169E">
              <w:t>2</w:t>
            </w:r>
          </w:p>
        </w:tc>
        <w:tc>
          <w:tcPr>
            <w:tcW w:w="1962" w:type="dxa"/>
            <w:vMerge w:val="restart"/>
            <w:tcBorders>
              <w:top w:val="nil"/>
              <w:left w:val="nil"/>
              <w:bottom w:val="nil"/>
              <w:right w:val="nil"/>
            </w:tcBorders>
            <w:tcMar>
              <w:top w:w="0" w:type="dxa"/>
              <w:left w:w="62" w:type="dxa"/>
              <w:bottom w:w="0" w:type="dxa"/>
              <w:right w:w="62" w:type="dxa"/>
            </w:tcMar>
          </w:tcPr>
          <w:p w:rsidR="00000000" w:rsidP="003F169E">
            <w:pPr>
              <w:pStyle w:val="BodyText"/>
              <w:rPr>
                <w:lang w:val="en-NZ"/>
              </w:rPr>
            </w:pPr>
            <w:r w:rsidRPr="003F169E">
              <w:t>Set out materials for installation</w:t>
            </w:r>
          </w:p>
        </w:tc>
        <w:tc>
          <w:tcPr>
            <w:tcW w:w="770" w:type="dxa"/>
            <w:tcBorders>
              <w:top w:val="nil"/>
              <w:left w:val="nil"/>
              <w:bottom w:val="nil"/>
              <w:right w:val="nil"/>
            </w:tcBorders>
            <w:tcMar>
              <w:top w:w="0" w:type="dxa"/>
              <w:left w:w="62" w:type="dxa"/>
              <w:bottom w:w="0" w:type="dxa"/>
              <w:right w:w="62" w:type="dxa"/>
            </w:tcMar>
          </w:tcPr>
          <w:p w:rsidR="00000000" w:rsidP="003F169E">
            <w:pPr>
              <w:pStyle w:val="BodyText"/>
              <w:rPr>
                <w:lang w:val="en-NZ"/>
              </w:rPr>
            </w:pPr>
            <w:r w:rsidRPr="003F169E">
              <w:t>2.1</w:t>
            </w:r>
          </w:p>
        </w:tc>
        <w:tc>
          <w:tcPr>
            <w:tcW w:w="5610" w:type="dxa"/>
            <w:tcBorders>
              <w:top w:val="nil"/>
              <w:left w:val="nil"/>
              <w:bottom w:val="nil"/>
              <w:right w:val="nil"/>
            </w:tcBorders>
            <w:tcMar>
              <w:top w:w="0" w:type="dxa"/>
              <w:left w:w="62" w:type="dxa"/>
              <w:bottom w:w="0" w:type="dxa"/>
              <w:right w:w="62" w:type="dxa"/>
            </w:tcMar>
          </w:tcPr>
          <w:p w:rsidR="00000000" w:rsidP="003F169E">
            <w:pPr>
              <w:pStyle w:val="BodyText"/>
              <w:rPr>
                <w:lang w:val="en-NZ"/>
              </w:rPr>
            </w:pPr>
            <w:r w:rsidRPr="003F169E">
              <w:t xml:space="preserve">Laminate timber or bamboo flooring is acclimatised according to manufacturer recommendations </w:t>
            </w:r>
          </w:p>
        </w:tc>
      </w:tr>
      <w:tr w:rsidTr="003F169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169E">
            <w:pPr>
              <w:pStyle w:val="BodyText"/>
              <w:rPr>
                <w:lang w:val="en-NZ"/>
              </w:rPr>
            </w:pPr>
            <w:r w:rsidRPr="003F169E">
              <w:t>2.2</w:t>
            </w:r>
          </w:p>
        </w:tc>
        <w:tc>
          <w:tcPr>
            <w:tcW w:w="5610" w:type="dxa"/>
            <w:tcBorders>
              <w:top w:val="nil"/>
              <w:left w:val="nil"/>
              <w:bottom w:val="nil"/>
              <w:right w:val="nil"/>
            </w:tcBorders>
            <w:tcMar>
              <w:top w:w="0" w:type="dxa"/>
              <w:left w:w="62" w:type="dxa"/>
              <w:bottom w:w="0" w:type="dxa"/>
              <w:right w:w="62" w:type="dxa"/>
            </w:tcMar>
          </w:tcPr>
          <w:p w:rsidR="00000000" w:rsidP="003F169E">
            <w:pPr>
              <w:pStyle w:val="BodyText"/>
              <w:rPr>
                <w:lang w:val="en-NZ"/>
              </w:rPr>
            </w:pPr>
            <w:r w:rsidRPr="003F169E">
              <w:t>Laminate timber flooring or bamboo for fixing is organised and used in accordance with relevant safety management requirements</w:t>
            </w:r>
          </w:p>
        </w:tc>
      </w:tr>
      <w:tr w:rsidTr="003F169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169E">
            <w:pPr>
              <w:pStyle w:val="BodyText"/>
              <w:rPr>
                <w:lang w:val="en-NZ"/>
              </w:rPr>
            </w:pPr>
            <w:r w:rsidRPr="003F169E">
              <w:t>2.3</w:t>
            </w:r>
          </w:p>
        </w:tc>
        <w:tc>
          <w:tcPr>
            <w:tcW w:w="5610" w:type="dxa"/>
            <w:tcBorders>
              <w:top w:val="nil"/>
              <w:left w:val="nil"/>
              <w:bottom w:val="nil"/>
              <w:right w:val="nil"/>
            </w:tcBorders>
            <w:tcMar>
              <w:top w:w="0" w:type="dxa"/>
              <w:left w:w="62" w:type="dxa"/>
              <w:bottom w:w="0" w:type="dxa"/>
              <w:right w:w="62" w:type="dxa"/>
            </w:tcMar>
          </w:tcPr>
          <w:p w:rsidR="00000000" w:rsidP="003F169E">
            <w:pPr>
              <w:pStyle w:val="BodyText"/>
              <w:rPr>
                <w:lang w:val="en-NZ"/>
              </w:rPr>
            </w:pPr>
            <w:r w:rsidRPr="003F169E">
              <w:t>Skirting boards or co</w:t>
            </w:r>
            <w:r w:rsidRPr="003F169E">
              <w:t>ver trims are removed or undercut, if required, and stored for re-fitting or sent for machining</w:t>
            </w:r>
          </w:p>
        </w:tc>
      </w:tr>
      <w:tr w:rsidTr="003F169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169E">
            <w:pPr>
              <w:pStyle w:val="BodyText"/>
              <w:rPr>
                <w:lang w:val="en-NZ"/>
              </w:rPr>
            </w:pPr>
            <w:r w:rsidRPr="003F169E">
              <w:t>2.4</w:t>
            </w:r>
          </w:p>
        </w:tc>
        <w:tc>
          <w:tcPr>
            <w:tcW w:w="5610" w:type="dxa"/>
            <w:tcBorders>
              <w:top w:val="nil"/>
              <w:left w:val="nil"/>
              <w:bottom w:val="nil"/>
              <w:right w:val="nil"/>
            </w:tcBorders>
            <w:tcMar>
              <w:top w:w="0" w:type="dxa"/>
              <w:left w:w="62" w:type="dxa"/>
              <w:bottom w:w="0" w:type="dxa"/>
              <w:right w:w="62" w:type="dxa"/>
            </w:tcMar>
          </w:tcPr>
          <w:p w:rsidR="00000000" w:rsidP="003F169E">
            <w:pPr>
              <w:pStyle w:val="BodyText"/>
              <w:rPr>
                <w:lang w:val="en-NZ"/>
              </w:rPr>
            </w:pPr>
            <w:r w:rsidRPr="003F169E">
              <w:t>Adhesives and edge strips are prepared for use as required</w:t>
            </w:r>
          </w:p>
        </w:tc>
      </w:tr>
      <w:tr w:rsidTr="003F169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169E">
            <w:pPr>
              <w:pStyle w:val="BodyText"/>
              <w:rPr>
                <w:lang w:val="en-NZ"/>
              </w:rPr>
            </w:pPr>
            <w:r w:rsidRPr="003F169E">
              <w:t>2.5</w:t>
            </w:r>
          </w:p>
        </w:tc>
        <w:tc>
          <w:tcPr>
            <w:tcW w:w="5610" w:type="dxa"/>
            <w:tcBorders>
              <w:top w:val="nil"/>
              <w:left w:val="nil"/>
              <w:bottom w:val="nil"/>
              <w:right w:val="nil"/>
            </w:tcBorders>
            <w:tcMar>
              <w:top w:w="0" w:type="dxa"/>
              <w:left w:w="62" w:type="dxa"/>
              <w:bottom w:w="0" w:type="dxa"/>
              <w:right w:w="62" w:type="dxa"/>
            </w:tcMar>
          </w:tcPr>
          <w:p w:rsidR="00000000" w:rsidP="003F169E">
            <w:pPr>
              <w:pStyle w:val="BodyText"/>
              <w:rPr>
                <w:lang w:val="en-NZ"/>
              </w:rPr>
            </w:pPr>
            <w:r w:rsidRPr="003F169E">
              <w:t xml:space="preserve">Working lines and starting point are established </w:t>
            </w:r>
          </w:p>
        </w:tc>
      </w:tr>
      <w:tr w:rsidTr="003F169E">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3F169E">
            <w:pPr>
              <w:pStyle w:val="BodyText"/>
              <w:rPr>
                <w:lang w:val="en-NZ"/>
              </w:rPr>
            </w:pPr>
            <w:r w:rsidRPr="003F169E">
              <w:t>3</w:t>
            </w:r>
          </w:p>
        </w:tc>
        <w:tc>
          <w:tcPr>
            <w:tcW w:w="1962" w:type="dxa"/>
            <w:vMerge w:val="restart"/>
            <w:tcBorders>
              <w:top w:val="nil"/>
              <w:left w:val="nil"/>
              <w:bottom w:val="nil"/>
              <w:right w:val="nil"/>
            </w:tcBorders>
            <w:tcMar>
              <w:top w:w="0" w:type="dxa"/>
              <w:left w:w="62" w:type="dxa"/>
              <w:bottom w:w="0" w:type="dxa"/>
              <w:right w:w="62" w:type="dxa"/>
            </w:tcMar>
          </w:tcPr>
          <w:p w:rsidR="00000000" w:rsidP="003F169E">
            <w:pPr>
              <w:pStyle w:val="BodyText"/>
              <w:rPr>
                <w:lang w:val="en-NZ"/>
              </w:rPr>
            </w:pPr>
            <w:r w:rsidRPr="003F169E">
              <w:t>Lay out flooring</w:t>
            </w:r>
          </w:p>
        </w:tc>
        <w:tc>
          <w:tcPr>
            <w:tcW w:w="770" w:type="dxa"/>
            <w:tcBorders>
              <w:top w:val="nil"/>
              <w:left w:val="nil"/>
              <w:bottom w:val="nil"/>
              <w:right w:val="nil"/>
            </w:tcBorders>
            <w:tcMar>
              <w:top w:w="0" w:type="dxa"/>
              <w:left w:w="62" w:type="dxa"/>
              <w:bottom w:w="0" w:type="dxa"/>
              <w:right w:w="62" w:type="dxa"/>
            </w:tcMar>
          </w:tcPr>
          <w:p w:rsidR="00000000" w:rsidP="003F169E">
            <w:pPr>
              <w:pStyle w:val="BodyText"/>
              <w:rPr>
                <w:lang w:val="en-NZ"/>
              </w:rPr>
            </w:pPr>
            <w:r w:rsidRPr="003F169E">
              <w:t>3.1</w:t>
            </w:r>
          </w:p>
        </w:tc>
        <w:tc>
          <w:tcPr>
            <w:tcW w:w="5610" w:type="dxa"/>
            <w:tcBorders>
              <w:top w:val="nil"/>
              <w:left w:val="nil"/>
              <w:bottom w:val="nil"/>
              <w:right w:val="nil"/>
            </w:tcBorders>
            <w:tcMar>
              <w:top w:w="0" w:type="dxa"/>
              <w:left w:w="62" w:type="dxa"/>
              <w:bottom w:w="0" w:type="dxa"/>
              <w:right w:w="62" w:type="dxa"/>
            </w:tcMar>
          </w:tcPr>
          <w:p w:rsidR="00000000" w:rsidP="003F169E">
            <w:pPr>
              <w:pStyle w:val="BodyText"/>
              <w:rPr>
                <w:lang w:val="en-NZ"/>
              </w:rPr>
            </w:pPr>
            <w:r w:rsidRPr="003F169E">
              <w:t>Instructions and sequence for laying and fixing are followed</w:t>
            </w:r>
          </w:p>
        </w:tc>
      </w:tr>
      <w:tr w:rsidTr="003F169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169E">
            <w:pPr>
              <w:pStyle w:val="BodyText"/>
              <w:rPr>
                <w:lang w:val="en-NZ"/>
              </w:rPr>
            </w:pPr>
            <w:r w:rsidRPr="003F169E">
              <w:t>3.2</w:t>
            </w:r>
          </w:p>
        </w:tc>
        <w:tc>
          <w:tcPr>
            <w:tcW w:w="5610" w:type="dxa"/>
            <w:tcBorders>
              <w:top w:val="nil"/>
              <w:left w:val="nil"/>
              <w:bottom w:val="nil"/>
              <w:right w:val="nil"/>
            </w:tcBorders>
            <w:tcMar>
              <w:top w:w="0" w:type="dxa"/>
              <w:left w:w="62" w:type="dxa"/>
              <w:bottom w:w="0" w:type="dxa"/>
              <w:right w:w="62" w:type="dxa"/>
            </w:tcMar>
          </w:tcPr>
          <w:p w:rsidR="00000000" w:rsidP="003F169E">
            <w:pPr>
              <w:pStyle w:val="BodyText"/>
              <w:rPr>
                <w:lang w:val="en-NZ"/>
              </w:rPr>
            </w:pPr>
            <w:r w:rsidRPr="003F169E">
              <w:t>Appropriate underlay is laid according to manufacturer recommendations</w:t>
            </w:r>
          </w:p>
        </w:tc>
      </w:tr>
      <w:tr w:rsidTr="003F169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169E">
            <w:pPr>
              <w:pStyle w:val="BodyText"/>
              <w:rPr>
                <w:lang w:val="en-NZ"/>
              </w:rPr>
            </w:pPr>
            <w:r w:rsidRPr="003F169E">
              <w:t>3.3</w:t>
            </w:r>
          </w:p>
        </w:tc>
        <w:tc>
          <w:tcPr>
            <w:tcW w:w="5610" w:type="dxa"/>
            <w:tcBorders>
              <w:top w:val="nil"/>
              <w:left w:val="nil"/>
              <w:bottom w:val="nil"/>
              <w:right w:val="nil"/>
            </w:tcBorders>
            <w:tcMar>
              <w:top w:w="0" w:type="dxa"/>
              <w:left w:w="62" w:type="dxa"/>
              <w:bottom w:w="0" w:type="dxa"/>
              <w:right w:w="62" w:type="dxa"/>
            </w:tcMar>
          </w:tcPr>
          <w:p w:rsidR="00000000" w:rsidP="003F169E">
            <w:pPr>
              <w:pStyle w:val="BodyText"/>
              <w:rPr>
                <w:lang w:val="en-NZ"/>
              </w:rPr>
            </w:pPr>
            <w:r w:rsidRPr="003F169E">
              <w:t>Laminate timber or bamboo flooring is laid out to meet directional sequence</w:t>
            </w:r>
            <w:r w:rsidRPr="003F169E">
              <w:t xml:space="preserve">, pattern match, specification requirements and to minimise waste and joins </w:t>
            </w:r>
          </w:p>
        </w:tc>
      </w:tr>
      <w:tr w:rsidTr="003F169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169E">
            <w:pPr>
              <w:pStyle w:val="BodyText"/>
              <w:rPr>
                <w:lang w:val="en-NZ"/>
              </w:rPr>
            </w:pPr>
            <w:r w:rsidRPr="003F169E">
              <w:t>3.4</w:t>
            </w:r>
          </w:p>
        </w:tc>
        <w:tc>
          <w:tcPr>
            <w:tcW w:w="5610" w:type="dxa"/>
            <w:tcBorders>
              <w:top w:val="nil"/>
              <w:left w:val="nil"/>
              <w:bottom w:val="nil"/>
              <w:right w:val="nil"/>
            </w:tcBorders>
            <w:tcMar>
              <w:top w:w="0" w:type="dxa"/>
              <w:left w:w="62" w:type="dxa"/>
              <w:bottom w:w="0" w:type="dxa"/>
              <w:right w:w="62" w:type="dxa"/>
            </w:tcMar>
          </w:tcPr>
          <w:p w:rsidR="00000000" w:rsidP="003F169E">
            <w:pPr>
              <w:pStyle w:val="BodyText"/>
              <w:rPr>
                <w:lang w:val="en-NZ"/>
              </w:rPr>
            </w:pPr>
            <w:r w:rsidRPr="003F169E">
              <w:t xml:space="preserve">The aesthetics of the materials are maximised, including matching grains and colours </w:t>
            </w:r>
          </w:p>
        </w:tc>
      </w:tr>
      <w:tr w:rsidTr="003F169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169E">
            <w:pPr>
              <w:pStyle w:val="BodyText"/>
              <w:rPr>
                <w:lang w:val="en-NZ"/>
              </w:rPr>
            </w:pPr>
            <w:r w:rsidRPr="003F169E">
              <w:t>3.5</w:t>
            </w:r>
          </w:p>
        </w:tc>
        <w:tc>
          <w:tcPr>
            <w:tcW w:w="5610" w:type="dxa"/>
            <w:tcBorders>
              <w:top w:val="nil"/>
              <w:left w:val="nil"/>
              <w:bottom w:val="nil"/>
              <w:right w:val="nil"/>
            </w:tcBorders>
            <w:tcMar>
              <w:top w:w="0" w:type="dxa"/>
              <w:left w:w="62" w:type="dxa"/>
              <w:bottom w:w="0" w:type="dxa"/>
              <w:right w:w="62" w:type="dxa"/>
            </w:tcMar>
          </w:tcPr>
          <w:p w:rsidR="00000000" w:rsidP="003F169E">
            <w:pPr>
              <w:pStyle w:val="BodyText"/>
              <w:rPr>
                <w:lang w:val="en-NZ"/>
              </w:rPr>
            </w:pPr>
            <w:r w:rsidRPr="003F169E">
              <w:t xml:space="preserve">Laminate timber or bamboo flooring materials are accurately and clearly marked </w:t>
            </w:r>
            <w:r w:rsidRPr="003F169E">
              <w:t>for cutting</w:t>
            </w:r>
          </w:p>
        </w:tc>
      </w:tr>
      <w:tr w:rsidTr="003F169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169E">
            <w:pPr>
              <w:pStyle w:val="BodyText"/>
              <w:rPr>
                <w:lang w:val="en-NZ"/>
              </w:rPr>
            </w:pPr>
            <w:r w:rsidRPr="003F169E">
              <w:t>3.6</w:t>
            </w:r>
          </w:p>
        </w:tc>
        <w:tc>
          <w:tcPr>
            <w:tcW w:w="5610" w:type="dxa"/>
            <w:tcBorders>
              <w:top w:val="nil"/>
              <w:left w:val="nil"/>
              <w:bottom w:val="nil"/>
              <w:right w:val="nil"/>
            </w:tcBorders>
            <w:tcMar>
              <w:top w:w="0" w:type="dxa"/>
              <w:left w:w="62" w:type="dxa"/>
              <w:bottom w:w="0" w:type="dxa"/>
              <w:right w:w="62" w:type="dxa"/>
            </w:tcMar>
          </w:tcPr>
          <w:p w:rsidR="00000000" w:rsidP="003F169E">
            <w:pPr>
              <w:pStyle w:val="BodyText"/>
              <w:rPr>
                <w:lang w:val="en-NZ"/>
              </w:rPr>
            </w:pPr>
            <w:r w:rsidRPr="003F169E">
              <w:t>Materials are cut to length and size for final laying ensuring minimum waste</w:t>
            </w:r>
          </w:p>
        </w:tc>
      </w:tr>
      <w:tr w:rsidTr="003F169E">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3F169E">
            <w:pPr>
              <w:pStyle w:val="BodyText"/>
              <w:rPr>
                <w:lang w:val="en-NZ"/>
              </w:rPr>
            </w:pPr>
            <w:r w:rsidRPr="003F169E">
              <w:t>4</w:t>
            </w:r>
          </w:p>
        </w:tc>
        <w:tc>
          <w:tcPr>
            <w:tcW w:w="1962" w:type="dxa"/>
            <w:vMerge w:val="restart"/>
            <w:tcBorders>
              <w:top w:val="nil"/>
              <w:left w:val="nil"/>
              <w:bottom w:val="nil"/>
              <w:right w:val="nil"/>
            </w:tcBorders>
            <w:tcMar>
              <w:top w:w="0" w:type="dxa"/>
              <w:left w:w="62" w:type="dxa"/>
              <w:bottom w:w="0" w:type="dxa"/>
              <w:right w:w="62" w:type="dxa"/>
            </w:tcMar>
          </w:tcPr>
          <w:p w:rsidR="00000000" w:rsidP="003F169E">
            <w:pPr>
              <w:pStyle w:val="BodyText"/>
              <w:rPr>
                <w:lang w:val="en-NZ"/>
              </w:rPr>
            </w:pPr>
            <w:r w:rsidRPr="003F169E">
              <w:t>Lay flooring</w:t>
            </w:r>
          </w:p>
        </w:tc>
        <w:tc>
          <w:tcPr>
            <w:tcW w:w="770" w:type="dxa"/>
            <w:tcBorders>
              <w:top w:val="nil"/>
              <w:left w:val="nil"/>
              <w:bottom w:val="nil"/>
              <w:right w:val="nil"/>
            </w:tcBorders>
            <w:tcMar>
              <w:top w:w="0" w:type="dxa"/>
              <w:left w:w="62" w:type="dxa"/>
              <w:bottom w:w="0" w:type="dxa"/>
              <w:right w:w="62" w:type="dxa"/>
            </w:tcMar>
          </w:tcPr>
          <w:p w:rsidR="00000000" w:rsidP="003F169E">
            <w:pPr>
              <w:pStyle w:val="BodyText"/>
              <w:rPr>
                <w:lang w:val="en-NZ"/>
              </w:rPr>
            </w:pPr>
            <w:r w:rsidRPr="003F169E">
              <w:t>4.1</w:t>
            </w:r>
          </w:p>
        </w:tc>
        <w:tc>
          <w:tcPr>
            <w:tcW w:w="5610" w:type="dxa"/>
            <w:tcBorders>
              <w:top w:val="nil"/>
              <w:left w:val="nil"/>
              <w:bottom w:val="nil"/>
              <w:right w:val="nil"/>
            </w:tcBorders>
            <w:tcMar>
              <w:top w:w="0" w:type="dxa"/>
              <w:left w:w="62" w:type="dxa"/>
              <w:bottom w:w="0" w:type="dxa"/>
              <w:right w:w="62" w:type="dxa"/>
            </w:tcMar>
          </w:tcPr>
          <w:p w:rsidR="00000000" w:rsidP="003F169E">
            <w:pPr>
              <w:pStyle w:val="BodyText"/>
              <w:rPr>
                <w:lang w:val="en-NZ"/>
              </w:rPr>
            </w:pPr>
            <w:r w:rsidRPr="003F169E">
              <w:t>Materials for fixing are organised and used in accordance with relevant safety management requirements</w:t>
            </w:r>
          </w:p>
        </w:tc>
      </w:tr>
      <w:tr w:rsidTr="003F169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169E">
            <w:pPr>
              <w:pStyle w:val="BodyText"/>
              <w:rPr>
                <w:lang w:val="en-NZ"/>
              </w:rPr>
            </w:pPr>
            <w:r w:rsidRPr="003F169E">
              <w:t>4.2</w:t>
            </w:r>
          </w:p>
        </w:tc>
        <w:tc>
          <w:tcPr>
            <w:tcW w:w="5610" w:type="dxa"/>
            <w:tcBorders>
              <w:top w:val="nil"/>
              <w:left w:val="nil"/>
              <w:bottom w:val="nil"/>
              <w:right w:val="nil"/>
            </w:tcBorders>
            <w:tcMar>
              <w:top w:w="0" w:type="dxa"/>
              <w:left w:w="62" w:type="dxa"/>
              <w:bottom w:w="0" w:type="dxa"/>
              <w:right w:w="62" w:type="dxa"/>
            </w:tcMar>
          </w:tcPr>
          <w:p w:rsidR="00000000" w:rsidP="003F169E">
            <w:pPr>
              <w:pStyle w:val="BodyText"/>
              <w:rPr>
                <w:lang w:val="en-NZ"/>
              </w:rPr>
            </w:pPr>
            <w:r w:rsidRPr="003F169E">
              <w:t>Adhesives and edge strips/accessories are prepared for use as required</w:t>
            </w:r>
          </w:p>
        </w:tc>
      </w:tr>
      <w:tr w:rsidTr="003F169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169E">
            <w:pPr>
              <w:pStyle w:val="BodyText"/>
              <w:rPr>
                <w:lang w:val="en-NZ"/>
              </w:rPr>
            </w:pPr>
            <w:r w:rsidRPr="003F169E">
              <w:t>4.3</w:t>
            </w:r>
          </w:p>
        </w:tc>
        <w:tc>
          <w:tcPr>
            <w:tcW w:w="5610" w:type="dxa"/>
            <w:tcBorders>
              <w:top w:val="nil"/>
              <w:left w:val="nil"/>
              <w:bottom w:val="nil"/>
              <w:right w:val="nil"/>
            </w:tcBorders>
            <w:tcMar>
              <w:top w:w="0" w:type="dxa"/>
              <w:left w:w="62" w:type="dxa"/>
              <w:bottom w:w="0" w:type="dxa"/>
              <w:right w:w="62" w:type="dxa"/>
            </w:tcMar>
          </w:tcPr>
          <w:p w:rsidR="00000000" w:rsidP="003F169E">
            <w:pPr>
              <w:pStyle w:val="BodyText"/>
              <w:rPr>
                <w:lang w:val="en-NZ"/>
              </w:rPr>
            </w:pPr>
            <w:r w:rsidRPr="003F169E">
              <w:t>Fixing methods and equipment are used following manufacturer recommendations</w:t>
            </w:r>
          </w:p>
        </w:tc>
      </w:tr>
      <w:tr w:rsidTr="003F169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169E">
            <w:pPr>
              <w:pStyle w:val="BodyText"/>
              <w:rPr>
                <w:lang w:val="en-NZ"/>
              </w:rPr>
            </w:pPr>
            <w:r w:rsidRPr="003F169E">
              <w:t>4.4</w:t>
            </w:r>
          </w:p>
        </w:tc>
        <w:tc>
          <w:tcPr>
            <w:tcW w:w="5610" w:type="dxa"/>
            <w:tcBorders>
              <w:top w:val="nil"/>
              <w:left w:val="nil"/>
              <w:bottom w:val="nil"/>
              <w:right w:val="nil"/>
            </w:tcBorders>
            <w:tcMar>
              <w:top w:w="0" w:type="dxa"/>
              <w:left w:w="62" w:type="dxa"/>
              <w:bottom w:w="0" w:type="dxa"/>
              <w:right w:w="62" w:type="dxa"/>
            </w:tcMar>
          </w:tcPr>
          <w:p w:rsidR="00000000" w:rsidP="003F169E">
            <w:pPr>
              <w:pStyle w:val="BodyText"/>
              <w:rPr>
                <w:lang w:val="en-NZ"/>
              </w:rPr>
            </w:pPr>
            <w:r w:rsidRPr="003F169E">
              <w:t>Appropriate field and perimeter expansion joints are allowed</w:t>
            </w:r>
          </w:p>
        </w:tc>
      </w:tr>
      <w:tr w:rsidTr="003F169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169E">
            <w:pPr>
              <w:pStyle w:val="BodyText"/>
              <w:rPr>
                <w:lang w:val="en-NZ"/>
              </w:rPr>
            </w:pPr>
            <w:r w:rsidRPr="003F169E">
              <w:t>4.5</w:t>
            </w:r>
          </w:p>
        </w:tc>
        <w:tc>
          <w:tcPr>
            <w:tcW w:w="5610" w:type="dxa"/>
            <w:tcBorders>
              <w:top w:val="nil"/>
              <w:left w:val="nil"/>
              <w:bottom w:val="nil"/>
              <w:right w:val="nil"/>
            </w:tcBorders>
            <w:tcMar>
              <w:top w:w="0" w:type="dxa"/>
              <w:left w:w="62" w:type="dxa"/>
              <w:bottom w:w="0" w:type="dxa"/>
              <w:right w:w="62" w:type="dxa"/>
            </w:tcMar>
          </w:tcPr>
          <w:p w:rsidR="00000000" w:rsidP="003F169E">
            <w:pPr>
              <w:pStyle w:val="BodyText"/>
              <w:rPr>
                <w:lang w:val="en-NZ"/>
              </w:rPr>
            </w:pPr>
            <w:r w:rsidRPr="003F169E">
              <w:t>Skirting boards or cover trims are fitted/re-fitted and finished</w:t>
            </w:r>
          </w:p>
        </w:tc>
      </w:tr>
      <w:tr w:rsidTr="003F169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169E">
            <w:pPr>
              <w:pStyle w:val="BodyText"/>
              <w:rPr>
                <w:lang w:val="en-NZ"/>
              </w:rPr>
            </w:pPr>
            <w:r w:rsidRPr="003F169E">
              <w:t>4.6</w:t>
            </w:r>
          </w:p>
        </w:tc>
        <w:tc>
          <w:tcPr>
            <w:tcW w:w="5610" w:type="dxa"/>
            <w:tcBorders>
              <w:top w:val="nil"/>
              <w:left w:val="nil"/>
              <w:bottom w:val="nil"/>
              <w:right w:val="nil"/>
            </w:tcBorders>
            <w:tcMar>
              <w:top w:w="0" w:type="dxa"/>
              <w:left w:w="62" w:type="dxa"/>
              <w:bottom w:w="0" w:type="dxa"/>
              <w:right w:w="62" w:type="dxa"/>
            </w:tcMar>
          </w:tcPr>
          <w:p w:rsidR="00000000" w:rsidP="003F169E">
            <w:pPr>
              <w:pStyle w:val="BodyText"/>
              <w:rPr>
                <w:lang w:val="en-NZ"/>
              </w:rPr>
            </w:pPr>
            <w:r w:rsidRPr="003F169E">
              <w:t>Finished job is inspected and any imperfections are rectified following workplace procedures</w:t>
            </w:r>
          </w:p>
        </w:tc>
      </w:tr>
      <w:tr w:rsidTr="003F169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169E">
            <w:pPr>
              <w:pStyle w:val="BodyText"/>
              <w:rPr>
                <w:lang w:val="en-NZ"/>
              </w:rPr>
            </w:pPr>
            <w:r w:rsidRPr="003F169E">
              <w:t>4.7</w:t>
            </w:r>
          </w:p>
        </w:tc>
        <w:tc>
          <w:tcPr>
            <w:tcW w:w="5610" w:type="dxa"/>
            <w:tcBorders>
              <w:top w:val="nil"/>
              <w:left w:val="nil"/>
              <w:bottom w:val="nil"/>
              <w:right w:val="nil"/>
            </w:tcBorders>
            <w:tcMar>
              <w:top w:w="0" w:type="dxa"/>
              <w:left w:w="62" w:type="dxa"/>
              <w:bottom w:w="0" w:type="dxa"/>
              <w:right w:w="62" w:type="dxa"/>
            </w:tcMar>
          </w:tcPr>
          <w:p w:rsidR="00000000" w:rsidP="003F169E">
            <w:pPr>
              <w:pStyle w:val="BodyText"/>
              <w:rPr>
                <w:lang w:val="en-NZ"/>
              </w:rPr>
            </w:pPr>
            <w:r w:rsidRPr="003F169E">
              <w:t>Any required preparations for sanding of flooring are made</w:t>
            </w:r>
          </w:p>
        </w:tc>
      </w:tr>
      <w:tr w:rsidTr="003F169E">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3F169E">
            <w:pPr>
              <w:pStyle w:val="BodyText"/>
              <w:rPr>
                <w:lang w:val="en-NZ"/>
              </w:rPr>
            </w:pPr>
            <w:r w:rsidRPr="003F169E">
              <w:t>5</w:t>
            </w:r>
          </w:p>
        </w:tc>
        <w:tc>
          <w:tcPr>
            <w:tcW w:w="1962" w:type="dxa"/>
            <w:vMerge w:val="restart"/>
            <w:tcBorders>
              <w:top w:val="nil"/>
              <w:left w:val="nil"/>
              <w:bottom w:val="nil"/>
              <w:right w:val="nil"/>
            </w:tcBorders>
            <w:tcMar>
              <w:top w:w="0" w:type="dxa"/>
              <w:left w:w="62" w:type="dxa"/>
              <w:bottom w:w="0" w:type="dxa"/>
              <w:right w:w="62" w:type="dxa"/>
            </w:tcMar>
          </w:tcPr>
          <w:p w:rsidR="00000000" w:rsidP="003F169E">
            <w:pPr>
              <w:pStyle w:val="BodyText"/>
              <w:rPr>
                <w:lang w:val="en-NZ"/>
              </w:rPr>
            </w:pPr>
            <w:r w:rsidRPr="003F169E">
              <w:t>Complete housekeeping</w:t>
            </w:r>
          </w:p>
        </w:tc>
        <w:tc>
          <w:tcPr>
            <w:tcW w:w="770" w:type="dxa"/>
            <w:tcBorders>
              <w:top w:val="nil"/>
              <w:left w:val="nil"/>
              <w:bottom w:val="nil"/>
              <w:right w:val="nil"/>
            </w:tcBorders>
            <w:tcMar>
              <w:top w:w="0" w:type="dxa"/>
              <w:left w:w="62" w:type="dxa"/>
              <w:bottom w:w="0" w:type="dxa"/>
              <w:right w:w="62" w:type="dxa"/>
            </w:tcMar>
          </w:tcPr>
          <w:p w:rsidR="00000000" w:rsidP="003F169E">
            <w:pPr>
              <w:pStyle w:val="BodyText"/>
              <w:rPr>
                <w:lang w:val="en-NZ"/>
              </w:rPr>
            </w:pPr>
            <w:r w:rsidRPr="003F169E">
              <w:t>5.1</w:t>
            </w:r>
          </w:p>
        </w:tc>
        <w:tc>
          <w:tcPr>
            <w:tcW w:w="5610" w:type="dxa"/>
            <w:tcBorders>
              <w:top w:val="nil"/>
              <w:left w:val="nil"/>
              <w:bottom w:val="nil"/>
              <w:right w:val="nil"/>
            </w:tcBorders>
            <w:tcMar>
              <w:top w:w="0" w:type="dxa"/>
              <w:left w:w="62" w:type="dxa"/>
              <w:bottom w:w="0" w:type="dxa"/>
              <w:right w:w="62" w:type="dxa"/>
            </w:tcMar>
          </w:tcPr>
          <w:p w:rsidR="00000000" w:rsidP="003F169E">
            <w:pPr>
              <w:pStyle w:val="BodyText"/>
              <w:rPr>
                <w:lang w:val="en-NZ"/>
              </w:rPr>
            </w:pPr>
            <w:r w:rsidRPr="003F169E">
              <w:t>Unused materials are stored or recycled as required</w:t>
            </w:r>
          </w:p>
        </w:tc>
      </w:tr>
      <w:tr w:rsidTr="003F169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169E">
            <w:pPr>
              <w:pStyle w:val="BodyText"/>
              <w:rPr>
                <w:lang w:val="en-NZ"/>
              </w:rPr>
            </w:pPr>
            <w:r w:rsidRPr="003F169E">
              <w:t>5.2</w:t>
            </w:r>
          </w:p>
        </w:tc>
        <w:tc>
          <w:tcPr>
            <w:tcW w:w="5610" w:type="dxa"/>
            <w:tcBorders>
              <w:top w:val="nil"/>
              <w:left w:val="nil"/>
              <w:bottom w:val="nil"/>
              <w:right w:val="nil"/>
            </w:tcBorders>
            <w:tcMar>
              <w:top w:w="0" w:type="dxa"/>
              <w:left w:w="62" w:type="dxa"/>
              <w:bottom w:w="0" w:type="dxa"/>
              <w:right w:w="62" w:type="dxa"/>
            </w:tcMar>
          </w:tcPr>
          <w:p w:rsidR="00000000" w:rsidP="003F169E">
            <w:pPr>
              <w:pStyle w:val="BodyText"/>
              <w:rPr>
                <w:lang w:val="en-NZ"/>
              </w:rPr>
            </w:pPr>
            <w:r w:rsidRPr="003F169E">
              <w:t>Tools and equipment are cleaned and stored appropriately</w:t>
            </w:r>
          </w:p>
        </w:tc>
      </w:tr>
      <w:tr w:rsidTr="003F169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169E">
            <w:pPr>
              <w:pStyle w:val="BodyText"/>
              <w:rPr>
                <w:lang w:val="en-NZ"/>
              </w:rPr>
            </w:pPr>
            <w:r w:rsidRPr="003F169E">
              <w:t>5.3</w:t>
            </w:r>
          </w:p>
        </w:tc>
        <w:tc>
          <w:tcPr>
            <w:tcW w:w="5610" w:type="dxa"/>
            <w:tcBorders>
              <w:top w:val="nil"/>
              <w:left w:val="nil"/>
              <w:bottom w:val="nil"/>
              <w:right w:val="nil"/>
            </w:tcBorders>
            <w:tcMar>
              <w:top w:w="0" w:type="dxa"/>
              <w:left w:w="62" w:type="dxa"/>
              <w:bottom w:w="0" w:type="dxa"/>
              <w:right w:w="62" w:type="dxa"/>
            </w:tcMar>
          </w:tcPr>
          <w:p w:rsidR="00000000" w:rsidP="003F169E">
            <w:pPr>
              <w:pStyle w:val="BodyText"/>
              <w:rPr>
                <w:lang w:val="en-NZ"/>
              </w:rPr>
            </w:pPr>
            <w:r w:rsidRPr="003F169E">
              <w:t>Work area is cleaned and rubbish is disposed of appropriately</w:t>
            </w:r>
          </w:p>
        </w:tc>
      </w:tr>
      <w:tr w:rsidTr="003F169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169E">
            <w:pPr>
              <w:pStyle w:val="BodyText"/>
              <w:rPr>
                <w:lang w:val="en-NZ"/>
              </w:rPr>
            </w:pPr>
            <w:r w:rsidRPr="003F169E">
              <w:t>5.4</w:t>
            </w:r>
          </w:p>
        </w:tc>
        <w:tc>
          <w:tcPr>
            <w:tcW w:w="5610" w:type="dxa"/>
            <w:tcBorders>
              <w:top w:val="nil"/>
              <w:left w:val="nil"/>
              <w:bottom w:val="nil"/>
              <w:right w:val="nil"/>
            </w:tcBorders>
            <w:tcMar>
              <w:top w:w="0" w:type="dxa"/>
              <w:left w:w="62" w:type="dxa"/>
              <w:bottom w:w="0" w:type="dxa"/>
              <w:right w:w="62" w:type="dxa"/>
            </w:tcMar>
          </w:tcPr>
          <w:p w:rsidR="00000000" w:rsidRPr="003F169E" w:rsidP="003F169E">
            <w:pPr>
              <w:pStyle w:val="BodyText"/>
            </w:pPr>
            <w:r w:rsidRPr="003F169E">
              <w:t xml:space="preserve">Workplace documentation is completed </w:t>
            </w:r>
          </w:p>
        </w:tc>
      </w:tr>
    </w:tbl>
    <w:p w:rsidR="00000000" w:rsidRPr="003F169E" w:rsidP="003F169E">
      <w:pPr>
        <w:pStyle w:val="BodyText"/>
      </w:pPr>
    </w:p>
    <w:p w:rsidR="00000000" w:rsidRPr="003F169E" w:rsidP="003F169E">
      <w:pPr>
        <w:pStyle w:val="AllowPageBreak"/>
      </w:pPr>
    </w:p>
    <w:p w:rsidR="00000000" w:rsidRPr="003F169E" w:rsidP="003F169E">
      <w:pPr>
        <w:pStyle w:val="Heading1"/>
      </w:pPr>
      <w:bookmarkStart w:id="7" w:name="O_641054"/>
      <w:bookmarkEnd w:id="7"/>
      <w:r w:rsidRPr="003F169E">
        <w:t>Foundation Skills</w:t>
      </w:r>
    </w:p>
    <w:p w:rsidR="00F1308E" w:rsidP="003F169E">
      <w:pPr>
        <w:pStyle w:val="BodyText"/>
      </w:pPr>
      <w:r w:rsidRPr="003F169E">
        <w:t>Foundation skills essential to performance are explicit in the performance criteria of this unit of competency. Detail on appropriate performance levels for each furnishing unit of competency in reading, writing, oral communication and nu</w:t>
      </w:r>
      <w:r w:rsidRPr="003F169E">
        <w:t xml:space="preserve">meracy utilising the Australian Core Skills Framework (ACSF) are provided in the Furnishing Training Package Implementation Guide. </w:t>
      </w:r>
    </w:p>
    <w:p w:rsidR="00F1308E" w:rsidP="003F169E">
      <w:pPr>
        <w:pStyle w:val="BodyText"/>
      </w:pPr>
    </w:p>
    <w:p w:rsidR="00000000" w:rsidRPr="003F169E" w:rsidP="003F169E">
      <w:pPr>
        <w:pStyle w:val="Heading1"/>
      </w:pPr>
      <w:bookmarkStart w:id="8" w:name="O_641053"/>
      <w:bookmarkEnd w:id="8"/>
      <w:r w:rsidRPr="003F169E">
        <w:t>Range of Conditions</w:t>
      </w:r>
    </w:p>
    <w:tbl>
      <w:tblPr>
        <w:tblW w:w="0" w:type="auto"/>
        <w:tblLayout w:type="fixed"/>
        <w:tblCellMar>
          <w:left w:w="62" w:type="dxa"/>
          <w:right w:w="62" w:type="dxa"/>
        </w:tblCellMar>
        <w:tblLook w:val="0000"/>
      </w:tblPr>
      <w:tblGrid>
        <w:gridCol w:w="2760"/>
        <w:gridCol w:w="6312"/>
      </w:tblGrid>
      <w:tr w:rsidTr="003F169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F169E">
            <w:pPr>
              <w:pStyle w:val="BodyText"/>
              <w:rPr>
                <w:lang w:val="en-NZ"/>
              </w:rPr>
            </w:pPr>
            <w:r w:rsidRPr="003F169E">
              <w:t>Specifies different work environments and conditions that may affect performance. Esse</w:t>
            </w:r>
            <w:r w:rsidRPr="003F169E">
              <w:t xml:space="preserve">ntial operating conditions that may be present (depending on the work situation, needs of the candidate, accessibility of the item, and local industry and regional contexts) are included. Range is restricted to essential operating conditions and any other </w:t>
            </w:r>
            <w:r w:rsidRPr="003F169E">
              <w:t>variables essential to the work environment.</w:t>
            </w:r>
          </w:p>
        </w:tc>
      </w:tr>
      <w:tr w:rsidTr="003F169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F169E">
            <w:pPr>
              <w:pStyle w:val="BodyText"/>
              <w:rPr>
                <w:lang w:val="en-NZ"/>
              </w:rPr>
            </w:pPr>
            <w:r w:rsidRPr="003F169E">
              <w:rPr>
                <w:rStyle w:val="SpecialBold"/>
              </w:rPr>
              <w:t>Legislative requirements include:</w:t>
            </w:r>
          </w:p>
        </w:tc>
        <w:tc>
          <w:tcPr>
            <w:tcW w:w="6312" w:type="dxa"/>
            <w:tcBorders>
              <w:top w:val="nil"/>
              <w:left w:val="nil"/>
              <w:bottom w:val="nil"/>
              <w:right w:val="nil"/>
            </w:tcBorders>
            <w:tcMar>
              <w:top w:w="0" w:type="dxa"/>
              <w:left w:w="62" w:type="dxa"/>
              <w:bottom w:w="0" w:type="dxa"/>
              <w:right w:w="62" w:type="dxa"/>
            </w:tcMar>
          </w:tcPr>
          <w:p w:rsidR="00000000" w:rsidRPr="003F169E" w:rsidP="003F169E">
            <w:pPr>
              <w:pStyle w:val="ListBullet"/>
            </w:pPr>
            <w:r w:rsidRPr="003F169E">
              <w:t>applicable legislation from all levels of government that affect organisational operation</w:t>
            </w:r>
          </w:p>
          <w:p w:rsidR="00000000" w:rsidRPr="003F169E" w:rsidP="003F169E">
            <w:pPr>
              <w:pStyle w:val="ListBullet"/>
            </w:pPr>
            <w:r w:rsidRPr="003F169E">
              <w:t>award and enterprise agreements</w:t>
            </w:r>
          </w:p>
          <w:p w:rsidR="00000000" w:rsidRPr="003F169E" w:rsidP="003F169E">
            <w:pPr>
              <w:pStyle w:val="ListBullet"/>
            </w:pPr>
            <w:r w:rsidRPr="003F169E">
              <w:t>industrial relations</w:t>
            </w:r>
          </w:p>
          <w:p w:rsidR="00000000" w:rsidRPr="003F169E" w:rsidP="003F169E">
            <w:pPr>
              <w:pStyle w:val="ListBullet"/>
            </w:pPr>
            <w:r w:rsidRPr="003F169E">
              <w:t>Australian Standards</w:t>
            </w:r>
          </w:p>
          <w:p w:rsidR="00000000" w:rsidRPr="003F169E" w:rsidP="003F169E">
            <w:pPr>
              <w:pStyle w:val="ListBullet"/>
            </w:pPr>
            <w:r w:rsidRPr="003F169E">
              <w:t>confidentiality and privacy</w:t>
            </w:r>
          </w:p>
          <w:p w:rsidR="00000000" w:rsidRPr="003F169E" w:rsidP="003F169E">
            <w:pPr>
              <w:pStyle w:val="ListBullet"/>
            </w:pPr>
            <w:r w:rsidRPr="003F169E">
              <w:t>WHS</w:t>
            </w:r>
          </w:p>
          <w:p w:rsidR="00000000" w:rsidRPr="003F169E" w:rsidP="003F169E">
            <w:pPr>
              <w:pStyle w:val="ListBullet"/>
            </w:pPr>
            <w:r w:rsidRPr="003F169E">
              <w:t>the environment</w:t>
            </w:r>
          </w:p>
          <w:p w:rsidR="00000000" w:rsidRPr="003F169E" w:rsidP="003F169E">
            <w:pPr>
              <w:pStyle w:val="ListBullet"/>
            </w:pPr>
            <w:r w:rsidRPr="003F169E">
              <w:t>equal employment opportunity (EEO)</w:t>
            </w:r>
          </w:p>
          <w:p w:rsidR="00000000" w:rsidRPr="003F169E" w:rsidP="003F169E">
            <w:pPr>
              <w:pStyle w:val="ListBullet"/>
            </w:pPr>
            <w:r w:rsidRPr="003F169E">
              <w:t>anti-discrimination</w:t>
            </w:r>
          </w:p>
          <w:p w:rsidR="00000000" w:rsidRPr="003F169E" w:rsidP="003F169E">
            <w:pPr>
              <w:pStyle w:val="ListBullet"/>
            </w:pPr>
            <w:r w:rsidRPr="003F169E">
              <w:t>relevant industry codes of practice</w:t>
            </w:r>
          </w:p>
          <w:p w:rsidR="00000000" w:rsidP="003F169E">
            <w:pPr>
              <w:pStyle w:val="ListBullet"/>
              <w:rPr>
                <w:lang w:val="en-NZ"/>
              </w:rPr>
            </w:pPr>
            <w:r w:rsidRPr="003F169E">
              <w:t>duty of care and heritage</w:t>
            </w:r>
          </w:p>
        </w:tc>
      </w:tr>
      <w:tr w:rsidTr="003F169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F169E">
            <w:pPr>
              <w:pStyle w:val="BodyText"/>
              <w:rPr>
                <w:lang w:val="en-NZ"/>
              </w:rPr>
            </w:pPr>
            <w:r w:rsidRPr="003F169E">
              <w:rPr>
                <w:rStyle w:val="SpecialBold"/>
              </w:rPr>
              <w:t>WHS requirements include:</w:t>
            </w:r>
          </w:p>
        </w:tc>
        <w:tc>
          <w:tcPr>
            <w:tcW w:w="6312" w:type="dxa"/>
            <w:tcBorders>
              <w:top w:val="nil"/>
              <w:left w:val="nil"/>
              <w:bottom w:val="nil"/>
              <w:right w:val="nil"/>
            </w:tcBorders>
            <w:tcMar>
              <w:top w:w="0" w:type="dxa"/>
              <w:left w:w="62" w:type="dxa"/>
              <w:bottom w:w="0" w:type="dxa"/>
              <w:right w:w="62" w:type="dxa"/>
            </w:tcMar>
          </w:tcPr>
          <w:p w:rsidR="00000000" w:rsidRPr="003F169E" w:rsidP="003F169E">
            <w:pPr>
              <w:pStyle w:val="ListBullet"/>
            </w:pPr>
            <w:r w:rsidRPr="003F169E">
              <w:t>Commonwealth, state or territory legislation and regulations</w:t>
            </w:r>
          </w:p>
          <w:p w:rsidR="00000000" w:rsidRPr="003F169E" w:rsidP="003F169E">
            <w:pPr>
              <w:pStyle w:val="ListBullet"/>
            </w:pPr>
            <w:r w:rsidRPr="003F169E">
              <w:t>organisational safety policies and procedures</w:t>
            </w:r>
          </w:p>
          <w:p w:rsidR="00000000" w:rsidRPr="003F169E" w:rsidP="003F169E">
            <w:pPr>
              <w:pStyle w:val="ListBullet"/>
            </w:pPr>
            <w:r w:rsidRPr="003F169E">
              <w:t>the use of personal protective equipment and clothing</w:t>
            </w:r>
          </w:p>
          <w:p w:rsidR="00000000" w:rsidRPr="003F169E" w:rsidP="003F169E">
            <w:pPr>
              <w:pStyle w:val="ListBullet"/>
            </w:pPr>
            <w:r w:rsidRPr="003F169E">
              <w:t>firefighting equipment</w:t>
            </w:r>
          </w:p>
          <w:p w:rsidR="00000000" w:rsidRPr="003F169E" w:rsidP="003F169E">
            <w:pPr>
              <w:pStyle w:val="ListBullet"/>
            </w:pPr>
            <w:r w:rsidRPr="003F169E">
              <w:t>first aid equipment</w:t>
            </w:r>
          </w:p>
          <w:p w:rsidR="00000000" w:rsidRPr="003F169E" w:rsidP="003F169E">
            <w:pPr>
              <w:pStyle w:val="ListBullet"/>
            </w:pPr>
            <w:r w:rsidRPr="003F169E">
              <w:t>hazard and risk control and elimination</w:t>
            </w:r>
          </w:p>
          <w:p w:rsidR="00000000" w:rsidRPr="003F169E" w:rsidP="003F169E">
            <w:pPr>
              <w:pStyle w:val="ListBullet"/>
            </w:pPr>
            <w:r w:rsidRPr="003F169E">
              <w:t>control of hazardous materials and substances</w:t>
            </w:r>
          </w:p>
          <w:p w:rsidR="00000000" w:rsidP="003F169E">
            <w:pPr>
              <w:pStyle w:val="ListBullet"/>
              <w:rPr>
                <w:lang w:val="en-NZ"/>
              </w:rPr>
            </w:pPr>
            <w:r w:rsidRPr="003F169E">
              <w:t xml:space="preserve">manual handling, including </w:t>
            </w:r>
            <w:r w:rsidRPr="003F169E">
              <w:t>lifting and carrying</w:t>
            </w:r>
          </w:p>
        </w:tc>
      </w:tr>
      <w:tr w:rsidTr="003F169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F169E">
            <w:pPr>
              <w:pStyle w:val="BodyText"/>
              <w:rPr>
                <w:lang w:val="en-NZ"/>
              </w:rPr>
            </w:pPr>
            <w:r w:rsidRPr="003F169E">
              <w:rPr>
                <w:rStyle w:val="SpecialBold"/>
              </w:rPr>
              <w:t>Organisational requirements include:</w:t>
            </w:r>
          </w:p>
        </w:tc>
        <w:tc>
          <w:tcPr>
            <w:tcW w:w="6312" w:type="dxa"/>
            <w:tcBorders>
              <w:top w:val="nil"/>
              <w:left w:val="nil"/>
              <w:bottom w:val="nil"/>
              <w:right w:val="nil"/>
            </w:tcBorders>
            <w:tcMar>
              <w:top w:w="0" w:type="dxa"/>
              <w:left w:w="62" w:type="dxa"/>
              <w:bottom w:w="0" w:type="dxa"/>
              <w:right w:w="62" w:type="dxa"/>
            </w:tcMar>
          </w:tcPr>
          <w:p w:rsidR="00000000" w:rsidRPr="003F169E" w:rsidP="003F169E">
            <w:pPr>
              <w:pStyle w:val="ListBullet"/>
            </w:pPr>
            <w:r w:rsidRPr="003F169E">
              <w:t>legal, organisational and site guidelines</w:t>
            </w:r>
          </w:p>
          <w:p w:rsidR="00000000" w:rsidRPr="003F169E" w:rsidP="003F169E">
            <w:pPr>
              <w:pStyle w:val="ListBullet"/>
            </w:pPr>
            <w:r w:rsidRPr="003F169E">
              <w:t>policies and procedures relating to own role and responsibility</w:t>
            </w:r>
          </w:p>
          <w:p w:rsidR="00000000" w:rsidRPr="003F169E" w:rsidP="003F169E">
            <w:pPr>
              <w:pStyle w:val="ListBullet"/>
            </w:pPr>
            <w:r w:rsidRPr="003F169E">
              <w:t>quality assurance</w:t>
            </w:r>
          </w:p>
          <w:p w:rsidR="00000000" w:rsidRPr="003F169E" w:rsidP="003F169E">
            <w:pPr>
              <w:pStyle w:val="ListBullet"/>
            </w:pPr>
            <w:r w:rsidRPr="003F169E">
              <w:t>procedural manuals</w:t>
            </w:r>
          </w:p>
          <w:p w:rsidR="00000000" w:rsidRPr="003F169E" w:rsidP="003F169E">
            <w:pPr>
              <w:pStyle w:val="ListBullet"/>
            </w:pPr>
            <w:r w:rsidRPr="003F169E">
              <w:t>quality and continuous improvement processes and standards</w:t>
            </w:r>
          </w:p>
          <w:p w:rsidR="00000000" w:rsidRPr="003F169E" w:rsidP="003F169E">
            <w:pPr>
              <w:pStyle w:val="ListBullet"/>
            </w:pPr>
            <w:r w:rsidRPr="003F169E">
              <w:t>WHS</w:t>
            </w:r>
          </w:p>
          <w:p w:rsidR="00000000" w:rsidRPr="003F169E" w:rsidP="003F169E">
            <w:pPr>
              <w:pStyle w:val="ListBullet"/>
            </w:pPr>
            <w:r w:rsidRPr="003F169E">
              <w:t>emergency and evacuation</w:t>
            </w:r>
          </w:p>
          <w:p w:rsidR="00000000" w:rsidRPr="003F169E" w:rsidP="003F169E">
            <w:pPr>
              <w:pStyle w:val="ListBullet"/>
            </w:pPr>
            <w:r w:rsidRPr="003F169E">
              <w:t>ethical standards</w:t>
            </w:r>
          </w:p>
          <w:p w:rsidR="00000000" w:rsidRPr="003F169E" w:rsidP="003F169E">
            <w:pPr>
              <w:pStyle w:val="ListBullet"/>
            </w:pPr>
            <w:r w:rsidRPr="003F169E">
              <w:t>recording and reporting</w:t>
            </w:r>
          </w:p>
          <w:p w:rsidR="00000000" w:rsidRPr="003F169E" w:rsidP="003F169E">
            <w:pPr>
              <w:pStyle w:val="ListBullet"/>
            </w:pPr>
            <w:r w:rsidRPr="003F169E">
              <w:t>access and equity principles and practices</w:t>
            </w:r>
          </w:p>
          <w:p w:rsidR="00000000" w:rsidRPr="003F169E" w:rsidP="003F169E">
            <w:pPr>
              <w:pStyle w:val="ListBullet"/>
            </w:pPr>
            <w:r w:rsidRPr="003F169E">
              <w:t>equipment use, maintenance and storage</w:t>
            </w:r>
          </w:p>
          <w:p w:rsidR="00000000" w:rsidP="003F169E">
            <w:pPr>
              <w:pStyle w:val="ListBullet"/>
              <w:rPr>
                <w:lang w:val="en-NZ"/>
              </w:rPr>
            </w:pPr>
            <w:r w:rsidRPr="003F169E">
              <w:t>environmental management (waste disposal, re</w:t>
            </w:r>
            <w:r w:rsidRPr="003F169E">
              <w:t>cycling and re-use guidelines)</w:t>
            </w:r>
          </w:p>
        </w:tc>
      </w:tr>
      <w:tr w:rsidTr="003F169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F169E">
            <w:pPr>
              <w:pStyle w:val="BodyText"/>
              <w:rPr>
                <w:lang w:val="en-NZ"/>
              </w:rPr>
            </w:pPr>
            <w:r w:rsidRPr="003F169E">
              <w:rPr>
                <w:rStyle w:val="SpecialBold"/>
              </w:rPr>
              <w:t>Instructions include:</w:t>
            </w:r>
          </w:p>
        </w:tc>
        <w:tc>
          <w:tcPr>
            <w:tcW w:w="6312" w:type="dxa"/>
            <w:tcBorders>
              <w:top w:val="nil"/>
              <w:left w:val="nil"/>
              <w:bottom w:val="nil"/>
              <w:right w:val="nil"/>
            </w:tcBorders>
            <w:tcMar>
              <w:top w:w="0" w:type="dxa"/>
              <w:left w:w="62" w:type="dxa"/>
              <w:bottom w:w="0" w:type="dxa"/>
              <w:right w:w="62" w:type="dxa"/>
            </w:tcMar>
          </w:tcPr>
          <w:p w:rsidR="00000000" w:rsidRPr="003F169E" w:rsidP="003F169E">
            <w:pPr>
              <w:pStyle w:val="ListBullet"/>
            </w:pPr>
            <w:r w:rsidRPr="003F169E">
              <w:t>workplace procedures relating to the use and operation of tools and equipment</w:t>
            </w:r>
          </w:p>
          <w:p w:rsidR="00000000" w:rsidRPr="003F169E" w:rsidP="003F169E">
            <w:pPr>
              <w:pStyle w:val="ListBullet"/>
            </w:pPr>
            <w:r w:rsidRPr="003F169E">
              <w:t>workplace instructions, instructions, including job sheets, plans, drawings and designs</w:t>
            </w:r>
          </w:p>
          <w:p w:rsidR="00000000" w:rsidRPr="003F169E" w:rsidP="003F169E">
            <w:pPr>
              <w:pStyle w:val="ListBullet"/>
            </w:pPr>
            <w:r w:rsidRPr="003F169E">
              <w:t>workplace procedures relating to re</w:t>
            </w:r>
            <w:r w:rsidRPr="003F169E">
              <w:t>porting and communications</w:t>
            </w:r>
          </w:p>
          <w:p w:rsidR="00000000" w:rsidP="003F169E">
            <w:pPr>
              <w:pStyle w:val="ListBullet"/>
              <w:rPr>
                <w:lang w:val="en-NZ"/>
              </w:rPr>
            </w:pPr>
            <w:r w:rsidRPr="003F169E">
              <w:t>manufacturer instructions for the use of equipment and materials</w:t>
            </w:r>
          </w:p>
        </w:tc>
      </w:tr>
      <w:tr w:rsidTr="003F169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F169E">
            <w:pPr>
              <w:pStyle w:val="BodyText"/>
              <w:rPr>
                <w:lang w:val="en-NZ"/>
              </w:rPr>
            </w:pPr>
            <w:r w:rsidRPr="003F169E">
              <w:rPr>
                <w:rStyle w:val="SpecialBold"/>
              </w:rPr>
              <w:t>Sub-floor assessment includes:</w:t>
            </w:r>
          </w:p>
        </w:tc>
        <w:tc>
          <w:tcPr>
            <w:tcW w:w="6312" w:type="dxa"/>
            <w:tcBorders>
              <w:top w:val="nil"/>
              <w:left w:val="nil"/>
              <w:bottom w:val="nil"/>
              <w:right w:val="nil"/>
            </w:tcBorders>
            <w:tcMar>
              <w:top w:w="0" w:type="dxa"/>
              <w:left w:w="62" w:type="dxa"/>
              <w:bottom w:w="0" w:type="dxa"/>
              <w:right w:w="62" w:type="dxa"/>
            </w:tcMar>
          </w:tcPr>
          <w:p w:rsidR="00000000" w:rsidP="003F169E">
            <w:pPr>
              <w:pStyle w:val="ListBullet"/>
              <w:rPr>
                <w:lang w:val="en-NZ"/>
              </w:rPr>
            </w:pPr>
            <w:r w:rsidRPr="003F169E">
              <w:t>testing for moisture content, expansion, rot, structural strength, smoothness and plane</w:t>
            </w:r>
          </w:p>
        </w:tc>
      </w:tr>
      <w:tr w:rsidTr="003F169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F169E">
            <w:pPr>
              <w:pStyle w:val="BodyText"/>
              <w:rPr>
                <w:lang w:val="en-NZ"/>
              </w:rPr>
            </w:pPr>
            <w:r w:rsidRPr="003F169E">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3F169E" w:rsidP="003F169E">
            <w:pPr>
              <w:pStyle w:val="ListBullet"/>
            </w:pPr>
            <w:r w:rsidRPr="003F169E">
              <w:t>drop saw</w:t>
            </w:r>
          </w:p>
          <w:p w:rsidR="00000000" w:rsidRPr="003F169E" w:rsidP="003F169E">
            <w:pPr>
              <w:pStyle w:val="ListBullet"/>
            </w:pPr>
            <w:r w:rsidRPr="003F169E">
              <w:t>jig saw</w:t>
            </w:r>
          </w:p>
          <w:p w:rsidR="00000000" w:rsidRPr="003F169E" w:rsidP="003F169E">
            <w:pPr>
              <w:pStyle w:val="ListBullet"/>
            </w:pPr>
            <w:r w:rsidRPr="003F169E">
              <w:t>hand saw</w:t>
            </w:r>
          </w:p>
          <w:p w:rsidR="00000000" w:rsidRPr="003F169E" w:rsidP="003F169E">
            <w:pPr>
              <w:pStyle w:val="ListBullet"/>
            </w:pPr>
            <w:r w:rsidRPr="003F169E">
              <w:t>undercut saw</w:t>
            </w:r>
          </w:p>
          <w:p w:rsidR="00000000" w:rsidRPr="003F169E" w:rsidP="003F169E">
            <w:pPr>
              <w:pStyle w:val="ListBullet"/>
            </w:pPr>
            <w:r w:rsidRPr="003F169E">
              <w:t>plunge saw</w:t>
            </w:r>
          </w:p>
          <w:p w:rsidR="00000000" w:rsidRPr="003F169E" w:rsidP="003F169E">
            <w:pPr>
              <w:pStyle w:val="ListBullet"/>
            </w:pPr>
            <w:r w:rsidRPr="003F169E">
              <w:t>hammer</w:t>
            </w:r>
          </w:p>
          <w:p w:rsidR="00000000" w:rsidRPr="003F169E" w:rsidP="003F169E">
            <w:pPr>
              <w:pStyle w:val="ListBullet"/>
            </w:pPr>
            <w:r w:rsidRPr="003F169E">
              <w:t xml:space="preserve">bar scriber </w:t>
            </w:r>
          </w:p>
          <w:p w:rsidR="00000000" w:rsidRPr="003F169E" w:rsidP="003F169E">
            <w:pPr>
              <w:pStyle w:val="ListBullet"/>
            </w:pPr>
            <w:r w:rsidRPr="003F169E">
              <w:t xml:space="preserve">utility knife </w:t>
            </w:r>
          </w:p>
          <w:p w:rsidR="00000000" w:rsidRPr="003F169E" w:rsidP="003F169E">
            <w:pPr>
              <w:pStyle w:val="ListBullet"/>
            </w:pPr>
            <w:r w:rsidRPr="003F169E">
              <w:t>circular saw</w:t>
            </w:r>
          </w:p>
          <w:p w:rsidR="00000000" w:rsidRPr="003F169E" w:rsidP="003F169E">
            <w:pPr>
              <w:pStyle w:val="ListBullet"/>
            </w:pPr>
            <w:r w:rsidRPr="003F169E">
              <w:t>bench saw</w:t>
            </w:r>
          </w:p>
          <w:p w:rsidR="00000000" w:rsidRPr="003F169E" w:rsidP="003F169E">
            <w:pPr>
              <w:pStyle w:val="ListBullet"/>
            </w:pPr>
            <w:r w:rsidRPr="003F169E">
              <w:t>straight edge</w:t>
            </w:r>
          </w:p>
          <w:p w:rsidR="00000000" w:rsidRPr="003F169E" w:rsidP="003F169E">
            <w:pPr>
              <w:pStyle w:val="ListBullet"/>
            </w:pPr>
            <w:r w:rsidRPr="003F169E">
              <w:t>glue gun</w:t>
            </w:r>
          </w:p>
          <w:p w:rsidR="00000000" w:rsidRPr="003F169E" w:rsidP="003F169E">
            <w:pPr>
              <w:pStyle w:val="ListBullet"/>
            </w:pPr>
            <w:r w:rsidRPr="003F169E">
              <w:t>staple gun</w:t>
            </w:r>
          </w:p>
          <w:p w:rsidR="00000000" w:rsidRPr="003F169E" w:rsidP="003F169E">
            <w:pPr>
              <w:pStyle w:val="ListBullet"/>
            </w:pPr>
            <w:r w:rsidRPr="003F169E">
              <w:t>nailers</w:t>
            </w:r>
          </w:p>
          <w:p w:rsidR="00000000" w:rsidRPr="003F169E" w:rsidP="003F169E">
            <w:pPr>
              <w:pStyle w:val="ListBullet"/>
            </w:pPr>
            <w:r w:rsidRPr="003F169E">
              <w:t>flooring cramps</w:t>
            </w:r>
          </w:p>
          <w:p w:rsidR="00000000" w:rsidRPr="003F169E" w:rsidP="003F169E">
            <w:pPr>
              <w:pStyle w:val="ListBullet"/>
            </w:pPr>
            <w:r w:rsidRPr="003F169E">
              <w:t xml:space="preserve">strap clamps </w:t>
            </w:r>
          </w:p>
          <w:p w:rsidR="00000000" w:rsidP="003F169E">
            <w:pPr>
              <w:pStyle w:val="ListBullet"/>
              <w:rPr>
                <w:lang w:val="en-NZ"/>
              </w:rPr>
            </w:pPr>
            <w:r w:rsidRPr="003F169E">
              <w:t>wall clamps</w:t>
            </w:r>
          </w:p>
        </w:tc>
      </w:tr>
      <w:tr w:rsidTr="003F169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F169E">
            <w:pPr>
              <w:pStyle w:val="BodyText"/>
              <w:rPr>
                <w:lang w:val="en-NZ"/>
              </w:rPr>
            </w:pPr>
            <w:r w:rsidRPr="003F169E">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3F169E" w:rsidP="003F169E">
            <w:pPr>
              <w:pStyle w:val="ListBullet"/>
            </w:pPr>
            <w:r w:rsidRPr="003F169E">
              <w:t>flooring materials</w:t>
            </w:r>
          </w:p>
          <w:p w:rsidR="00000000" w:rsidRPr="003F169E" w:rsidP="003F169E">
            <w:pPr>
              <w:pStyle w:val="ListBullet"/>
            </w:pPr>
            <w:r w:rsidRPr="003F169E">
              <w:t>underlay</w:t>
            </w:r>
          </w:p>
          <w:p w:rsidR="00000000" w:rsidRPr="003F169E" w:rsidP="003F169E">
            <w:pPr>
              <w:pStyle w:val="ListBullet"/>
            </w:pPr>
            <w:r w:rsidRPr="003F169E">
              <w:t>edge strips</w:t>
            </w:r>
          </w:p>
          <w:p w:rsidR="00000000" w:rsidRPr="003F169E" w:rsidP="003F169E">
            <w:pPr>
              <w:pStyle w:val="ListBullet"/>
            </w:pPr>
            <w:r w:rsidRPr="003F169E">
              <w:t xml:space="preserve">tapes </w:t>
            </w:r>
          </w:p>
          <w:p w:rsidR="00000000" w:rsidP="003F169E">
            <w:pPr>
              <w:pStyle w:val="ListBullet"/>
              <w:rPr>
                <w:lang w:val="en-NZ"/>
              </w:rPr>
            </w:pPr>
            <w:r w:rsidRPr="003F169E">
              <w:t>adhesives</w:t>
            </w:r>
          </w:p>
        </w:tc>
      </w:tr>
      <w:tr w:rsidTr="003F169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F169E">
            <w:pPr>
              <w:pStyle w:val="BodyText"/>
              <w:rPr>
                <w:lang w:val="en-NZ"/>
              </w:rPr>
            </w:pPr>
            <w:r w:rsidRPr="003F169E">
              <w:rPr>
                <w:rStyle w:val="SpecialBold"/>
              </w:rPr>
              <w:t>Adhesives include:</w:t>
            </w:r>
          </w:p>
        </w:tc>
        <w:tc>
          <w:tcPr>
            <w:tcW w:w="6312" w:type="dxa"/>
            <w:tcBorders>
              <w:top w:val="nil"/>
              <w:left w:val="nil"/>
              <w:bottom w:val="nil"/>
              <w:right w:val="nil"/>
            </w:tcBorders>
            <w:tcMar>
              <w:top w:w="0" w:type="dxa"/>
              <w:left w:w="62" w:type="dxa"/>
              <w:bottom w:w="0" w:type="dxa"/>
              <w:right w:w="62" w:type="dxa"/>
            </w:tcMar>
          </w:tcPr>
          <w:p w:rsidR="00000000" w:rsidRPr="003F169E" w:rsidP="003F169E">
            <w:pPr>
              <w:pStyle w:val="ListBullet"/>
            </w:pPr>
            <w:r w:rsidRPr="003F169E">
              <w:t xml:space="preserve">polyvinyl alcohol (PVA) </w:t>
            </w:r>
          </w:p>
          <w:p w:rsidR="00000000" w:rsidRPr="003F169E" w:rsidP="003F169E">
            <w:pPr>
              <w:pStyle w:val="ListBullet"/>
            </w:pPr>
            <w:r w:rsidRPr="003F169E">
              <w:t xml:space="preserve">epoxy </w:t>
            </w:r>
          </w:p>
          <w:p w:rsidR="00000000" w:rsidRPr="003F169E" w:rsidP="003F169E">
            <w:pPr>
              <w:pStyle w:val="ListBullet"/>
            </w:pPr>
            <w:r w:rsidRPr="003F169E">
              <w:t>polyurethane elastomeric</w:t>
            </w:r>
          </w:p>
        </w:tc>
      </w:tr>
    </w:tbl>
    <w:p w:rsidR="00000000" w:rsidRPr="003F169E" w:rsidP="003F169E">
      <w:pPr>
        <w:pStyle w:val="BodyText"/>
      </w:pPr>
    </w:p>
    <w:p w:rsidR="00000000" w:rsidRPr="003F169E" w:rsidP="003F169E">
      <w:pPr>
        <w:pStyle w:val="AllowPageBreak"/>
      </w:pPr>
    </w:p>
    <w:p w:rsidR="00000000" w:rsidRPr="003F169E" w:rsidP="003F169E">
      <w:pPr>
        <w:pStyle w:val="Heading1"/>
      </w:pPr>
      <w:bookmarkStart w:id="9" w:name="O_641052"/>
      <w:bookmarkEnd w:id="9"/>
      <w:r w:rsidRPr="003F169E">
        <w:t>Unit Mapping Information</w:t>
      </w:r>
    </w:p>
    <w:p w:rsidR="00000000" w:rsidRPr="003F169E" w:rsidP="003F169E">
      <w:pPr>
        <w:pStyle w:val="BodyText"/>
      </w:pPr>
      <w:r w:rsidRPr="003F169E">
        <w:t>Supersedes and is not equivalent to LMFFL2501A Install laminate and engineered timber flooring</w:t>
      </w:r>
    </w:p>
    <w:p w:rsidR="00000000" w:rsidRPr="003F169E" w:rsidP="003F169E">
      <w:pPr>
        <w:pStyle w:val="AllowPageBreak"/>
      </w:pPr>
    </w:p>
    <w:p w:rsidR="00000000" w:rsidRPr="003F169E" w:rsidP="003F169E">
      <w:pPr>
        <w:pStyle w:val="Heading1"/>
      </w:pPr>
      <w:bookmarkStart w:id="10" w:name="O_641061"/>
      <w:bookmarkEnd w:id="10"/>
      <w:r w:rsidRPr="003F169E">
        <w:t>Links</w:t>
      </w:r>
    </w:p>
    <w:p w:rsidR="00000000" w:rsidRPr="003F169E" w:rsidP="003F169E">
      <w:pPr>
        <w:pStyle w:val="BodyText"/>
      </w:pPr>
      <w:r w:rsidRPr="003F169E">
        <w:t>Companion Volume implementation guides are found in VETNet - https://vetnet.education.gov.au/Pages/TrainingDocs.aspx?q=0601ab95-583a-4e93-b2d4-cfb27b03ed73</w:t>
      </w:r>
    </w:p>
    <w:p w:rsidR="00000000" w:rsidRPr="003F169E" w:rsidP="003F169E"/>
    <w:sectPr w:rsidSect="003F169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6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69E" w:rsidRPr="00F1308E" w:rsidP="00F130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6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08E" w:rsidP="003F16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F1308E" w:rsidP="003F169E">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1308E" w:rsidP="003F169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6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08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F169E" w:rsidRPr="00F1308E" w:rsidP="00F1308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6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08E" w:rsidRPr="002D2AF8" w:rsidP="003F169E">
    <w:pPr>
      <w:pStyle w:val="Header"/>
      <w:framePr w:wrap="around"/>
    </w:pPr>
    <w:r>
      <w:fldChar w:fldCharType="begin"/>
    </w:r>
    <w:r>
      <w:instrText xml:space="preserve"> TITLE   \* MERGEFORMAT </w:instrText>
    </w:r>
    <w:r>
      <w:fldChar w:fldCharType="separate"/>
    </w:r>
    <w:r>
      <w:t>MSFFL2023 Install laminate timber and bamboo flooring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F1308E" w:rsidP="003F169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E4445F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12A2B3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169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F169E"/>
    <w:pPr>
      <w:spacing w:before="360" w:after="60"/>
      <w:outlineLvl w:val="0"/>
    </w:pPr>
    <w:rPr>
      <w:sz w:val="32"/>
    </w:rPr>
  </w:style>
  <w:style w:type="paragraph" w:styleId="Heading2">
    <w:name w:val="heading 2"/>
    <w:basedOn w:val="HeadingBase"/>
    <w:next w:val="BodyText"/>
    <w:link w:val="Heading2Char"/>
    <w:qFormat/>
    <w:rsid w:val="003F169E"/>
    <w:pPr>
      <w:keepLines/>
      <w:spacing w:before="240" w:after="120"/>
      <w:outlineLvl w:val="1"/>
    </w:pPr>
    <w:rPr>
      <w:sz w:val="28"/>
      <w:szCs w:val="40"/>
    </w:rPr>
  </w:style>
  <w:style w:type="paragraph" w:styleId="Heading3">
    <w:name w:val="heading 3"/>
    <w:basedOn w:val="HeadingBase"/>
    <w:next w:val="BodyText"/>
    <w:link w:val="Heading3Char"/>
    <w:qFormat/>
    <w:rsid w:val="003F169E"/>
    <w:pPr>
      <w:spacing w:before="180" w:after="120"/>
      <w:outlineLvl w:val="2"/>
    </w:pPr>
    <w:rPr>
      <w:spacing w:val="-10"/>
      <w:kern w:val="32"/>
    </w:rPr>
  </w:style>
  <w:style w:type="paragraph" w:styleId="Heading4">
    <w:name w:val="heading 4"/>
    <w:basedOn w:val="HeadingBase"/>
    <w:next w:val="BodyText"/>
    <w:link w:val="Heading4Char"/>
    <w:qFormat/>
    <w:rsid w:val="003F169E"/>
    <w:pPr>
      <w:spacing w:before="160" w:after="120"/>
      <w:outlineLvl w:val="3"/>
    </w:pPr>
    <w:rPr>
      <w:sz w:val="22"/>
    </w:rPr>
  </w:style>
  <w:style w:type="paragraph" w:styleId="Heading5">
    <w:name w:val="heading 5"/>
    <w:basedOn w:val="HeadingBase"/>
    <w:next w:val="Normal"/>
    <w:link w:val="Heading5Char"/>
    <w:qFormat/>
    <w:rsid w:val="003F169E"/>
    <w:pPr>
      <w:spacing w:before="80"/>
      <w:outlineLvl w:val="4"/>
    </w:pPr>
    <w:rPr>
      <w:color w:val="918585"/>
      <w:sz w:val="20"/>
    </w:rPr>
  </w:style>
  <w:style w:type="paragraph" w:styleId="Heading6">
    <w:name w:val="heading 6"/>
    <w:basedOn w:val="HeadingBase"/>
    <w:next w:val="Normal"/>
    <w:link w:val="Heading6Char"/>
    <w:qFormat/>
    <w:rsid w:val="003F169E"/>
    <w:pPr>
      <w:spacing w:before="60"/>
      <w:outlineLvl w:val="5"/>
    </w:pPr>
    <w:rPr>
      <w:color w:val="918585"/>
      <w:sz w:val="20"/>
    </w:rPr>
  </w:style>
  <w:style w:type="paragraph" w:styleId="Heading7">
    <w:name w:val="heading 7"/>
    <w:basedOn w:val="Normal"/>
    <w:next w:val="Normal"/>
    <w:link w:val="Heading7Char"/>
    <w:qFormat/>
    <w:rsid w:val="003F169E"/>
    <w:pPr>
      <w:ind w:left="720"/>
      <w:outlineLvl w:val="6"/>
    </w:pPr>
    <w:rPr>
      <w:i/>
    </w:rPr>
  </w:style>
  <w:style w:type="paragraph" w:styleId="Heading8">
    <w:name w:val="heading 8"/>
    <w:basedOn w:val="Normal"/>
    <w:next w:val="Normal"/>
    <w:link w:val="Heading8Char"/>
    <w:qFormat/>
    <w:rsid w:val="003F169E"/>
    <w:pPr>
      <w:ind w:left="720"/>
      <w:outlineLvl w:val="7"/>
    </w:pPr>
    <w:rPr>
      <w:i/>
    </w:rPr>
  </w:style>
  <w:style w:type="paragraph" w:styleId="Heading9">
    <w:name w:val="heading 9"/>
    <w:basedOn w:val="Normal"/>
    <w:next w:val="Normal"/>
    <w:link w:val="Heading9Char"/>
    <w:qFormat/>
    <w:rsid w:val="003F169E"/>
    <w:pPr>
      <w:ind w:left="720"/>
      <w:outlineLvl w:val="8"/>
    </w:pPr>
    <w:rPr>
      <w:i/>
    </w:rPr>
  </w:style>
  <w:style w:type="character" w:default="1" w:styleId="DefaultParagraphFont">
    <w:name w:val="Default Paragraph Font"/>
    <w:uiPriority w:val="1"/>
    <w:unhideWhenUsed/>
    <w:rsid w:val="003F16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169E"/>
  </w:style>
  <w:style w:type="character" w:customStyle="1" w:styleId="Heading1Char">
    <w:name w:val="Heading 1 Char"/>
    <w:basedOn w:val="DefaultParagraphFont"/>
    <w:link w:val="Heading1"/>
    <w:rsid w:val="003F169E"/>
    <w:rPr>
      <w:rFonts w:ascii="Times New Roman" w:eastAsia="Times New Roman" w:hAnsi="Times New Roman" w:cs="Times New Roman"/>
      <w:b/>
      <w:sz w:val="32"/>
      <w:szCs w:val="20"/>
      <w:lang w:eastAsia="en-US"/>
    </w:rPr>
  </w:style>
  <w:style w:type="paragraph" w:styleId="BodyText">
    <w:name w:val="Body Text"/>
    <w:basedOn w:val="Normal"/>
    <w:link w:val="BodyTextChar"/>
    <w:rsid w:val="003F169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F169E"/>
    <w:rPr>
      <w:rFonts w:ascii="Times New Roman" w:eastAsia="Times New Roman" w:hAnsi="Times New Roman" w:cs="Times New Roman"/>
      <w:sz w:val="24"/>
      <w:lang w:eastAsia="en-US"/>
    </w:rPr>
  </w:style>
  <w:style w:type="paragraph" w:styleId="ListBullet">
    <w:name w:val="List Bullet"/>
    <w:basedOn w:val="List"/>
    <w:rsid w:val="003F169E"/>
    <w:pPr>
      <w:numPr>
        <w:numId w:val="12"/>
      </w:numPr>
      <w:tabs>
        <w:tab w:val="clear" w:pos="340"/>
      </w:tabs>
      <w:spacing w:before="40" w:after="40"/>
    </w:pPr>
  </w:style>
  <w:style w:type="character" w:customStyle="1" w:styleId="SpecialBold">
    <w:name w:val="Special Bold"/>
    <w:basedOn w:val="DefaultParagraphFont"/>
    <w:rsid w:val="003F169E"/>
    <w:rPr>
      <w:b/>
      <w:spacing w:val="0"/>
    </w:rPr>
  </w:style>
  <w:style w:type="paragraph" w:customStyle="1" w:styleId="SuperHeading">
    <w:name w:val="SuperHeading"/>
    <w:basedOn w:val="Normal"/>
    <w:rsid w:val="003F169E"/>
    <w:pPr>
      <w:spacing w:before="240" w:after="120"/>
      <w:outlineLvl w:val="0"/>
    </w:pPr>
    <w:rPr>
      <w:rFonts w:ascii="Times New Roman" w:hAnsi="Times New Roman"/>
      <w:b/>
      <w:sz w:val="32"/>
    </w:rPr>
  </w:style>
  <w:style w:type="paragraph" w:customStyle="1" w:styleId="AllowPageBreak">
    <w:name w:val="AllowPageBreak"/>
    <w:rsid w:val="003F169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F16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16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16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16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16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169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F169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F169E"/>
    <w:rPr>
      <w:rFonts w:ascii="Courier New" w:eastAsia="Times New Roman" w:hAnsi="Courier New" w:cs="Times New Roman"/>
      <w:i/>
      <w:szCs w:val="20"/>
      <w:lang w:eastAsia="en-US"/>
    </w:rPr>
  </w:style>
  <w:style w:type="paragraph" w:customStyle="1" w:styleId="HeadingBase">
    <w:name w:val="Heading Base"/>
    <w:rsid w:val="003F16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169E"/>
    <w:pPr>
      <w:tabs>
        <w:tab w:val="right" w:leader="dot" w:pos="9072"/>
      </w:tabs>
      <w:ind w:left="567"/>
    </w:pPr>
    <w:rPr>
      <w:szCs w:val="22"/>
    </w:rPr>
  </w:style>
  <w:style w:type="paragraph" w:customStyle="1" w:styleId="TOCBase">
    <w:name w:val="TOC Base"/>
    <w:rsid w:val="003F16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169E"/>
    <w:pPr>
      <w:tabs>
        <w:tab w:val="right" w:leader="dot" w:pos="9072"/>
      </w:tabs>
      <w:spacing w:before="40" w:after="40"/>
      <w:ind w:left="284"/>
    </w:pPr>
    <w:rPr>
      <w:rFonts w:ascii="Times New Roman" w:hAnsi="Times New Roman"/>
    </w:rPr>
  </w:style>
  <w:style w:type="paragraph" w:styleId="TOC1">
    <w:name w:val="toc 1"/>
    <w:basedOn w:val="TOCBase"/>
    <w:next w:val="Normal"/>
    <w:rsid w:val="003F169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F16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169E"/>
    <w:rPr>
      <w:rFonts w:ascii="Times New Roman" w:eastAsia="Times New Roman" w:hAnsi="Times New Roman" w:cs="Times New Roman"/>
      <w:sz w:val="16"/>
      <w:lang w:eastAsia="en-US"/>
    </w:rPr>
  </w:style>
  <w:style w:type="paragraph" w:styleId="Title">
    <w:name w:val="Title"/>
    <w:basedOn w:val="HeadingBase"/>
    <w:link w:val="TitleChar"/>
    <w:qFormat/>
    <w:rsid w:val="003F169E"/>
    <w:pPr>
      <w:spacing w:before="5040"/>
      <w:jc w:val="center"/>
    </w:pPr>
    <w:rPr>
      <w:sz w:val="48"/>
      <w:szCs w:val="72"/>
      <w:lang w:val="en-US"/>
    </w:rPr>
  </w:style>
  <w:style w:type="character" w:customStyle="1" w:styleId="TitleChar">
    <w:name w:val="Title Char"/>
    <w:basedOn w:val="DefaultParagraphFont"/>
    <w:link w:val="Title"/>
    <w:rsid w:val="003F16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169E"/>
    <w:pPr>
      <w:tabs>
        <w:tab w:val="left" w:pos="3600"/>
        <w:tab w:val="left" w:pos="3958"/>
      </w:tabs>
    </w:pPr>
  </w:style>
  <w:style w:type="paragraph" w:styleId="List">
    <w:name w:val="List"/>
    <w:basedOn w:val="BodyText"/>
    <w:next w:val="BodyText"/>
    <w:rsid w:val="003F169E"/>
    <w:pPr>
      <w:tabs>
        <w:tab w:val="left" w:pos="340"/>
      </w:tabs>
      <w:spacing w:before="60" w:after="60"/>
      <w:ind w:left="340" w:hanging="340"/>
    </w:pPr>
  </w:style>
  <w:style w:type="paragraph" w:customStyle="1" w:styleId="Note">
    <w:name w:val="Note"/>
    <w:basedOn w:val="BodyText"/>
    <w:rsid w:val="003F169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169E"/>
    <w:pPr>
      <w:framePr w:wrap="auto" w:hAnchor="text" w:y="6049"/>
    </w:pPr>
    <w:rPr>
      <w:color w:val="000000"/>
      <w:sz w:val="40"/>
    </w:rPr>
  </w:style>
  <w:style w:type="paragraph" w:customStyle="1" w:styleId="TOCTitle">
    <w:name w:val="TOCTitle"/>
    <w:basedOn w:val="Heading1"/>
    <w:rsid w:val="003F169E"/>
    <w:pPr>
      <w:spacing w:after="240"/>
      <w:jc w:val="center"/>
      <w:outlineLvl w:val="9"/>
    </w:pPr>
    <w:rPr>
      <w:caps/>
    </w:rPr>
  </w:style>
  <w:style w:type="paragraph" w:customStyle="1" w:styleId="Version">
    <w:name w:val="Version"/>
    <w:rsid w:val="003F169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F169E"/>
    <w:pPr>
      <w:numPr>
        <w:numId w:val="13"/>
      </w:numPr>
      <w:tabs>
        <w:tab w:val="clear" w:pos="680"/>
      </w:tabs>
    </w:pPr>
  </w:style>
  <w:style w:type="paragraph" w:styleId="Index1">
    <w:name w:val="index 1"/>
    <w:basedOn w:val="Normal"/>
    <w:next w:val="Normal"/>
    <w:semiHidden/>
    <w:rsid w:val="003F169E"/>
    <w:pPr>
      <w:keepNext w:val="0"/>
      <w:tabs>
        <w:tab w:val="right" w:pos="4176"/>
      </w:tabs>
      <w:ind w:left="198" w:hanging="198"/>
    </w:pPr>
    <w:rPr>
      <w:rFonts w:ascii="Garamond" w:hAnsi="Garamond"/>
    </w:rPr>
  </w:style>
  <w:style w:type="paragraph" w:styleId="IndexHeading">
    <w:name w:val="index heading"/>
    <w:basedOn w:val="Normal"/>
    <w:next w:val="Index1"/>
    <w:semiHidden/>
    <w:rsid w:val="003F169E"/>
    <w:pPr>
      <w:spacing w:before="120" w:after="120"/>
    </w:pPr>
    <w:rPr>
      <w:rFonts w:ascii="Arial" w:hAnsi="Arial"/>
      <w:b/>
      <w:color w:val="918585"/>
      <w:sz w:val="24"/>
    </w:rPr>
  </w:style>
  <w:style w:type="paragraph" w:styleId="Header">
    <w:name w:val="header"/>
    <w:basedOn w:val="Normal"/>
    <w:link w:val="HeaderChar"/>
    <w:rsid w:val="003F16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169E"/>
    <w:rPr>
      <w:rFonts w:ascii="Times New Roman" w:eastAsia="Times New Roman" w:hAnsi="Times New Roman" w:cs="Times New Roman"/>
      <w:sz w:val="16"/>
      <w:szCs w:val="20"/>
      <w:lang w:val="en-GB" w:eastAsia="en-US"/>
    </w:rPr>
  </w:style>
  <w:style w:type="paragraph" w:customStyle="1" w:styleId="Chapter">
    <w:name w:val="Chapter"/>
    <w:basedOn w:val="Normal"/>
    <w:rsid w:val="003F169E"/>
    <w:pPr>
      <w:spacing w:before="240"/>
    </w:pPr>
    <w:rPr>
      <w:rFonts w:ascii="Times New Roman" w:hAnsi="Times New Roman"/>
      <w:smallCaps/>
      <w:spacing w:val="80"/>
      <w:sz w:val="28"/>
    </w:rPr>
  </w:style>
  <w:style w:type="paragraph" w:customStyle="1" w:styleId="InChapter">
    <w:name w:val="InChapter"/>
    <w:basedOn w:val="Heading3"/>
    <w:rsid w:val="003F169E"/>
    <w:pPr>
      <w:spacing w:after="240"/>
      <w:outlineLvl w:val="9"/>
    </w:pPr>
    <w:rPr>
      <w:noProof/>
    </w:rPr>
  </w:style>
  <w:style w:type="paragraph" w:styleId="Index2">
    <w:name w:val="index 2"/>
    <w:basedOn w:val="Normal"/>
    <w:next w:val="Normal"/>
    <w:semiHidden/>
    <w:rsid w:val="003F169E"/>
    <w:pPr>
      <w:tabs>
        <w:tab w:val="right" w:pos="4176"/>
      </w:tabs>
      <w:ind w:left="568" w:hanging="284"/>
    </w:pPr>
    <w:rPr>
      <w:rFonts w:ascii="Garamond" w:hAnsi="Garamond"/>
    </w:rPr>
  </w:style>
  <w:style w:type="paragraph" w:customStyle="1" w:styleId="Byline">
    <w:name w:val="Byline"/>
    <w:rsid w:val="003F16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169E"/>
    <w:pPr>
      <w:tabs>
        <w:tab w:val="clear" w:pos="3600"/>
        <w:tab w:val="clear" w:pos="3958"/>
      </w:tabs>
      <w:jc w:val="right"/>
    </w:pPr>
  </w:style>
  <w:style w:type="character" w:styleId="Emphasis">
    <w:name w:val="Emphasis"/>
    <w:basedOn w:val="DefaultParagraphFont"/>
    <w:qFormat/>
    <w:rsid w:val="003F169E"/>
    <w:rPr>
      <w:i/>
    </w:rPr>
  </w:style>
  <w:style w:type="paragraph" w:styleId="Caption">
    <w:name w:val="caption"/>
    <w:basedOn w:val="BodyText"/>
    <w:next w:val="Normal"/>
    <w:qFormat/>
    <w:rsid w:val="003F169E"/>
    <w:pPr>
      <w:framePr w:w="2268" w:hSpace="181" w:vSpace="181" w:wrap="around" w:vAnchor="text" w:hAnchor="page" w:x="1135" w:y="285" w:anchorLock="1"/>
    </w:pPr>
    <w:rPr>
      <w:i/>
    </w:rPr>
  </w:style>
  <w:style w:type="paragraph" w:customStyle="1" w:styleId="MiniTOCTitle">
    <w:name w:val="MiniTOCTitle"/>
    <w:basedOn w:val="Heading4"/>
    <w:rsid w:val="003F169E"/>
    <w:pPr>
      <w:spacing w:before="240"/>
      <w:outlineLvl w:val="9"/>
    </w:pPr>
    <w:rPr>
      <w:noProof/>
      <w:sz w:val="24"/>
    </w:rPr>
  </w:style>
  <w:style w:type="paragraph" w:customStyle="1" w:styleId="MiniTOCItem">
    <w:name w:val="MiniTOCItem"/>
    <w:basedOn w:val="ListBullet"/>
    <w:rsid w:val="003F169E"/>
    <w:pPr>
      <w:numPr>
        <w:numId w:val="0"/>
      </w:numPr>
      <w:tabs>
        <w:tab w:val="right" w:leader="dot" w:pos="6521"/>
      </w:tabs>
      <w:spacing w:before="0" w:after="0"/>
    </w:pPr>
  </w:style>
  <w:style w:type="paragraph" w:customStyle="1" w:styleId="TOFTitle">
    <w:name w:val="TOFTitle"/>
    <w:basedOn w:val="TOCTitle"/>
    <w:rsid w:val="003F169E"/>
  </w:style>
  <w:style w:type="paragraph" w:styleId="TableofFigures">
    <w:name w:val="table of figures"/>
    <w:basedOn w:val="Normal"/>
    <w:next w:val="Normal"/>
    <w:semiHidden/>
    <w:rsid w:val="003F169E"/>
    <w:pPr>
      <w:tabs>
        <w:tab w:val="right" w:leader="dot" w:pos="9072"/>
      </w:tabs>
      <w:ind w:left="970" w:hanging="403"/>
    </w:pPr>
    <w:rPr>
      <w:rFonts w:ascii="Times New Roman" w:hAnsi="Times New Roman"/>
      <w:b/>
    </w:rPr>
  </w:style>
  <w:style w:type="paragraph" w:styleId="ListNumber">
    <w:name w:val="List Number"/>
    <w:basedOn w:val="List"/>
    <w:rsid w:val="003F169E"/>
    <w:pPr>
      <w:numPr>
        <w:numId w:val="10"/>
      </w:numPr>
    </w:pPr>
  </w:style>
  <w:style w:type="character" w:customStyle="1" w:styleId="WingdingSymbols">
    <w:name w:val="Wingding Symbols"/>
    <w:rsid w:val="003F169E"/>
    <w:rPr>
      <w:rFonts w:ascii="Wingdings" w:hAnsi="Wingdings"/>
    </w:rPr>
  </w:style>
  <w:style w:type="paragraph" w:customStyle="1" w:styleId="TableHeading">
    <w:name w:val="Table Heading"/>
    <w:basedOn w:val="HeadingBase"/>
    <w:rsid w:val="003F169E"/>
    <w:pPr>
      <w:keepLines/>
      <w:pBdr>
        <w:bottom w:val="single" w:sz="6" w:space="1" w:color="918585"/>
      </w:pBdr>
      <w:spacing w:before="240"/>
    </w:pPr>
  </w:style>
  <w:style w:type="character" w:customStyle="1" w:styleId="HotSpot">
    <w:name w:val="HotSpot"/>
    <w:rsid w:val="003F169E"/>
    <w:rPr>
      <w:color w:val="0033CC"/>
      <w:u w:val="none"/>
    </w:rPr>
  </w:style>
  <w:style w:type="paragraph" w:customStyle="1" w:styleId="BodyTextRight">
    <w:name w:val="Body Text Right"/>
    <w:basedOn w:val="BodyText"/>
    <w:rsid w:val="003F169E"/>
    <w:pPr>
      <w:spacing w:before="0" w:after="0"/>
      <w:jc w:val="right"/>
    </w:pPr>
  </w:style>
  <w:style w:type="paragraph" w:styleId="Index3">
    <w:name w:val="index 3"/>
    <w:basedOn w:val="ListNumber2"/>
    <w:next w:val="Normal"/>
    <w:semiHidden/>
    <w:rsid w:val="003F169E"/>
    <w:pPr>
      <w:numPr>
        <w:numId w:val="0"/>
      </w:numPr>
      <w:tabs>
        <w:tab w:val="right" w:leader="dot" w:pos="4176"/>
      </w:tabs>
    </w:pPr>
  </w:style>
  <w:style w:type="paragraph" w:styleId="ListNumber2">
    <w:name w:val="List Number 2"/>
    <w:basedOn w:val="List2"/>
    <w:rsid w:val="003F169E"/>
    <w:pPr>
      <w:numPr>
        <w:numId w:val="9"/>
      </w:numPr>
      <w:tabs>
        <w:tab w:val="clear" w:pos="1060"/>
      </w:tabs>
    </w:pPr>
  </w:style>
  <w:style w:type="paragraph" w:customStyle="1" w:styleId="MarginNote">
    <w:name w:val="Margin Note"/>
    <w:basedOn w:val="BodyText"/>
    <w:rsid w:val="003F16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16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169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F169E"/>
    <w:rPr>
      <w:sz w:val="32"/>
    </w:rPr>
  </w:style>
  <w:style w:type="paragraph" w:customStyle="1" w:styleId="HeadingProcedure">
    <w:name w:val="Heading Procedure"/>
    <w:basedOn w:val="HeadingBase"/>
    <w:next w:val="Normal"/>
    <w:rsid w:val="003F169E"/>
    <w:pPr>
      <w:tabs>
        <w:tab w:val="left" w:pos="0"/>
      </w:tabs>
      <w:spacing w:before="120" w:after="60"/>
    </w:pPr>
    <w:rPr>
      <w:i/>
      <w:color w:val="918585"/>
      <w:sz w:val="22"/>
    </w:rPr>
  </w:style>
  <w:style w:type="paragraph" w:customStyle="1" w:styleId="TableBodyText">
    <w:name w:val="Table Body Text"/>
    <w:basedOn w:val="BodyText"/>
    <w:rsid w:val="003F169E"/>
    <w:pPr>
      <w:spacing w:before="60" w:after="60"/>
    </w:pPr>
  </w:style>
  <w:style w:type="paragraph" w:styleId="ListContinue">
    <w:name w:val="List Continue"/>
    <w:basedOn w:val="List"/>
    <w:rsid w:val="003F169E"/>
    <w:pPr>
      <w:ind w:firstLine="0"/>
    </w:pPr>
  </w:style>
  <w:style w:type="paragraph" w:customStyle="1" w:styleId="ListNote">
    <w:name w:val="List Note"/>
    <w:basedOn w:val="List"/>
    <w:rsid w:val="003F169E"/>
    <w:pPr>
      <w:pBdr>
        <w:top w:val="single" w:sz="6" w:space="2" w:color="918585"/>
        <w:bottom w:val="single" w:sz="6" w:space="2" w:color="918585"/>
      </w:pBdr>
      <w:tabs>
        <w:tab w:val="left" w:pos="1021"/>
      </w:tabs>
      <w:ind w:firstLine="0"/>
    </w:pPr>
  </w:style>
  <w:style w:type="paragraph" w:customStyle="1" w:styleId="Warning">
    <w:name w:val="Warning"/>
    <w:basedOn w:val="BodyText"/>
    <w:rsid w:val="003F169E"/>
    <w:pPr>
      <w:shd w:val="clear" w:color="auto" w:fill="D9D9D9"/>
      <w:tabs>
        <w:tab w:val="left" w:pos="992"/>
      </w:tabs>
      <w:ind w:left="119" w:right="119"/>
    </w:pPr>
    <w:rPr>
      <w:sz w:val="20"/>
    </w:rPr>
  </w:style>
  <w:style w:type="paragraph" w:customStyle="1" w:styleId="MarginIcons">
    <w:name w:val="Margin Icons"/>
    <w:basedOn w:val="BodyText"/>
    <w:rsid w:val="003F16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169E"/>
    <w:rPr>
      <w:rFonts w:ascii="Courier New" w:hAnsi="Courier New"/>
    </w:rPr>
  </w:style>
  <w:style w:type="paragraph" w:customStyle="1" w:styleId="NoteBullet">
    <w:name w:val="Note Bullet"/>
    <w:basedOn w:val="Note"/>
    <w:rsid w:val="003F169E"/>
    <w:pPr>
      <w:tabs>
        <w:tab w:val="clear" w:pos="680"/>
      </w:tabs>
      <w:spacing w:before="60" w:after="60"/>
    </w:pPr>
  </w:style>
  <w:style w:type="paragraph" w:customStyle="1" w:styleId="SubHeading2">
    <w:name w:val="SubHeading2"/>
    <w:basedOn w:val="HeadingBase"/>
    <w:rsid w:val="003F169E"/>
    <w:pPr>
      <w:spacing w:before="240" w:after="60"/>
    </w:pPr>
    <w:rPr>
      <w:sz w:val="20"/>
    </w:rPr>
  </w:style>
  <w:style w:type="paragraph" w:customStyle="1" w:styleId="SubHeading1">
    <w:name w:val="SubHeading1"/>
    <w:basedOn w:val="HeadingBase"/>
    <w:rsid w:val="003F169E"/>
    <w:pPr>
      <w:spacing w:before="240" w:after="60"/>
    </w:pPr>
    <w:rPr>
      <w:color w:val="918585"/>
      <w:sz w:val="22"/>
    </w:rPr>
  </w:style>
  <w:style w:type="paragraph" w:customStyle="1" w:styleId="SideHeading">
    <w:name w:val="Side Heading"/>
    <w:basedOn w:val="HeadingBase"/>
    <w:rsid w:val="003F16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169E"/>
    <w:pPr>
      <w:tabs>
        <w:tab w:val="num" w:pos="360"/>
      </w:tabs>
    </w:pPr>
  </w:style>
  <w:style w:type="paragraph" w:styleId="PlainText">
    <w:name w:val="Plain Text"/>
    <w:basedOn w:val="Normal"/>
    <w:link w:val="PlainTextChar"/>
    <w:rsid w:val="003F169E"/>
    <w:rPr>
      <w:sz w:val="20"/>
    </w:rPr>
  </w:style>
  <w:style w:type="character" w:customStyle="1" w:styleId="PlainTextChar">
    <w:name w:val="Plain Text Char"/>
    <w:basedOn w:val="DefaultParagraphFont"/>
    <w:link w:val="PlainText"/>
    <w:rsid w:val="003F169E"/>
    <w:rPr>
      <w:rFonts w:ascii="Courier New" w:eastAsia="Times New Roman" w:hAnsi="Courier New" w:cs="Times New Roman"/>
      <w:sz w:val="20"/>
      <w:szCs w:val="20"/>
      <w:lang w:eastAsia="en-US"/>
    </w:rPr>
  </w:style>
  <w:style w:type="character" w:customStyle="1" w:styleId="MenuOption">
    <w:name w:val="Menu Option"/>
    <w:basedOn w:val="DefaultParagraphFont"/>
    <w:rsid w:val="003F169E"/>
    <w:rPr>
      <w:b/>
      <w:smallCaps/>
    </w:rPr>
  </w:style>
  <w:style w:type="paragraph" w:customStyle="1" w:styleId="TableListNumber">
    <w:name w:val="Table List Number"/>
    <w:basedOn w:val="ListNumber"/>
    <w:rsid w:val="003F169E"/>
    <w:pPr>
      <w:numPr>
        <w:numId w:val="0"/>
      </w:numPr>
    </w:pPr>
  </w:style>
  <w:style w:type="paragraph" w:styleId="TOC4">
    <w:name w:val="toc 4"/>
    <w:basedOn w:val="TOCBase"/>
    <w:next w:val="Normal"/>
    <w:semiHidden/>
    <w:rsid w:val="003F169E"/>
    <w:pPr>
      <w:tabs>
        <w:tab w:val="right" w:leader="dot" w:pos="9071"/>
      </w:tabs>
      <w:ind w:left="1701"/>
    </w:pPr>
  </w:style>
  <w:style w:type="paragraph" w:customStyle="1" w:styleId="ListAlpha">
    <w:name w:val="List Alpha"/>
    <w:basedOn w:val="List"/>
    <w:rsid w:val="003F169E"/>
    <w:pPr>
      <w:numPr>
        <w:numId w:val="8"/>
      </w:numPr>
    </w:pPr>
  </w:style>
  <w:style w:type="paragraph" w:customStyle="1" w:styleId="ListAlpha2">
    <w:name w:val="List Alpha 2"/>
    <w:basedOn w:val="List2"/>
    <w:rsid w:val="003F169E"/>
    <w:pPr>
      <w:numPr>
        <w:numId w:val="7"/>
      </w:numPr>
    </w:pPr>
  </w:style>
  <w:style w:type="paragraph" w:styleId="List2">
    <w:name w:val="List 2"/>
    <w:basedOn w:val="BodyText"/>
    <w:rsid w:val="003F169E"/>
    <w:pPr>
      <w:tabs>
        <w:tab w:val="left" w:pos="680"/>
      </w:tabs>
      <w:spacing w:before="60" w:after="60"/>
      <w:ind w:left="680" w:hanging="340"/>
    </w:pPr>
  </w:style>
  <w:style w:type="paragraph" w:styleId="List3">
    <w:name w:val="List 3"/>
    <w:basedOn w:val="BodyText"/>
    <w:rsid w:val="003F169E"/>
    <w:pPr>
      <w:tabs>
        <w:tab w:val="left" w:pos="1021"/>
      </w:tabs>
      <w:spacing w:before="60" w:after="60"/>
      <w:ind w:left="1020" w:hanging="340"/>
    </w:pPr>
  </w:style>
  <w:style w:type="paragraph" w:styleId="List4">
    <w:name w:val="List 4"/>
    <w:basedOn w:val="BodyText"/>
    <w:rsid w:val="003F169E"/>
    <w:pPr>
      <w:tabs>
        <w:tab w:val="left" w:pos="1361"/>
      </w:tabs>
      <w:spacing w:before="60" w:after="60"/>
      <w:ind w:left="1361" w:hanging="340"/>
    </w:pPr>
  </w:style>
  <w:style w:type="paragraph" w:styleId="List5">
    <w:name w:val="List 5"/>
    <w:basedOn w:val="BodyText"/>
    <w:rsid w:val="003F169E"/>
    <w:pPr>
      <w:tabs>
        <w:tab w:val="left" w:pos="1701"/>
      </w:tabs>
      <w:spacing w:before="60" w:after="60"/>
      <w:ind w:left="1701" w:hanging="340"/>
    </w:pPr>
  </w:style>
  <w:style w:type="paragraph" w:styleId="ListBullet3">
    <w:name w:val="List Bullet 3"/>
    <w:basedOn w:val="List3"/>
    <w:rsid w:val="003F169E"/>
    <w:pPr>
      <w:numPr>
        <w:numId w:val="14"/>
      </w:numPr>
      <w:tabs>
        <w:tab w:val="clear" w:pos="1021"/>
      </w:tabs>
      <w:ind w:left="1037" w:hanging="357"/>
    </w:pPr>
  </w:style>
  <w:style w:type="paragraph" w:styleId="ListBullet4">
    <w:name w:val="List Bullet 4"/>
    <w:basedOn w:val="List4"/>
    <w:rsid w:val="003F169E"/>
    <w:pPr>
      <w:numPr>
        <w:numId w:val="2"/>
      </w:numPr>
      <w:tabs>
        <w:tab w:val="clear" w:pos="1361"/>
      </w:tabs>
    </w:pPr>
  </w:style>
  <w:style w:type="paragraph" w:styleId="ListBullet5">
    <w:name w:val="List Bullet 5"/>
    <w:basedOn w:val="List5"/>
    <w:rsid w:val="003F169E"/>
    <w:pPr>
      <w:numPr>
        <w:numId w:val="3"/>
      </w:numPr>
    </w:pPr>
  </w:style>
  <w:style w:type="paragraph" w:styleId="ListContinue2">
    <w:name w:val="List Continue 2"/>
    <w:basedOn w:val="List2"/>
    <w:rsid w:val="003F169E"/>
    <w:pPr>
      <w:ind w:firstLine="0"/>
    </w:pPr>
  </w:style>
  <w:style w:type="paragraph" w:styleId="ListContinue3">
    <w:name w:val="List Continue 3"/>
    <w:basedOn w:val="List3"/>
    <w:rsid w:val="003F169E"/>
    <w:pPr>
      <w:ind w:left="1021" w:firstLine="0"/>
    </w:pPr>
  </w:style>
  <w:style w:type="paragraph" w:styleId="ListContinue4">
    <w:name w:val="List Continue 4"/>
    <w:basedOn w:val="List4"/>
    <w:rsid w:val="003F169E"/>
    <w:pPr>
      <w:ind w:firstLine="0"/>
    </w:pPr>
  </w:style>
  <w:style w:type="paragraph" w:styleId="ListContinue5">
    <w:name w:val="List Continue 5"/>
    <w:basedOn w:val="List5"/>
    <w:rsid w:val="003F169E"/>
    <w:pPr>
      <w:ind w:firstLine="0"/>
    </w:pPr>
  </w:style>
  <w:style w:type="paragraph" w:styleId="ListNumber3">
    <w:name w:val="List Number 3"/>
    <w:basedOn w:val="List3"/>
    <w:rsid w:val="003F169E"/>
    <w:pPr>
      <w:numPr>
        <w:numId w:val="4"/>
      </w:numPr>
    </w:pPr>
  </w:style>
  <w:style w:type="paragraph" w:styleId="ListNumber4">
    <w:name w:val="List Number 4"/>
    <w:basedOn w:val="List4"/>
    <w:rsid w:val="003F169E"/>
    <w:pPr>
      <w:numPr>
        <w:numId w:val="5"/>
      </w:numPr>
    </w:pPr>
  </w:style>
  <w:style w:type="paragraph" w:styleId="ListNumber5">
    <w:name w:val="List Number 5"/>
    <w:basedOn w:val="List5"/>
    <w:rsid w:val="003F169E"/>
    <w:pPr>
      <w:numPr>
        <w:numId w:val="6"/>
      </w:numPr>
    </w:pPr>
  </w:style>
  <w:style w:type="paragraph" w:styleId="BlockText">
    <w:name w:val="Block Text"/>
    <w:basedOn w:val="Normal"/>
    <w:rsid w:val="003F169E"/>
    <w:pPr>
      <w:spacing w:after="120"/>
      <w:ind w:left="1440" w:right="1440"/>
    </w:pPr>
  </w:style>
  <w:style w:type="character" w:customStyle="1" w:styleId="Subscript">
    <w:name w:val="Subscript"/>
    <w:basedOn w:val="DefaultParagraphFont"/>
    <w:rsid w:val="003F169E"/>
    <w:rPr>
      <w:sz w:val="16"/>
      <w:vertAlign w:val="subscript"/>
    </w:rPr>
  </w:style>
  <w:style w:type="character" w:customStyle="1" w:styleId="Superscript">
    <w:name w:val="Superscript"/>
    <w:basedOn w:val="DefaultParagraphFont"/>
    <w:rsid w:val="003F169E"/>
    <w:rPr>
      <w:sz w:val="16"/>
      <w:vertAlign w:val="superscript"/>
    </w:rPr>
  </w:style>
  <w:style w:type="character" w:customStyle="1" w:styleId="Symbols">
    <w:name w:val="Symbols"/>
    <w:basedOn w:val="DefaultParagraphFont"/>
    <w:rsid w:val="003F169E"/>
    <w:rPr>
      <w:rFonts w:ascii="Symbol" w:hAnsi="Symbol"/>
    </w:rPr>
  </w:style>
  <w:style w:type="character" w:customStyle="1" w:styleId="MenuOptions">
    <w:name w:val="Menu Options"/>
    <w:basedOn w:val="DefaultParagraphFont"/>
    <w:rsid w:val="003F169E"/>
    <w:rPr>
      <w:rFonts w:ascii="Arial Narrow" w:hAnsi="Arial Narrow"/>
      <w:smallCaps/>
    </w:rPr>
  </w:style>
  <w:style w:type="character" w:customStyle="1" w:styleId="Buttons">
    <w:name w:val="Buttons"/>
    <w:basedOn w:val="DefaultParagraphFont"/>
    <w:rsid w:val="003F169E"/>
    <w:rPr>
      <w:b/>
    </w:rPr>
  </w:style>
  <w:style w:type="character" w:customStyle="1" w:styleId="Underlined">
    <w:name w:val="Underlined"/>
    <w:basedOn w:val="DefaultParagraphFont"/>
    <w:rsid w:val="003F169E"/>
    <w:rPr>
      <w:u w:val="single"/>
    </w:rPr>
  </w:style>
  <w:style w:type="paragraph" w:customStyle="1" w:styleId="TableBodyTextRight">
    <w:name w:val="Table Body Text Right"/>
    <w:basedOn w:val="TableBodyText"/>
    <w:rsid w:val="003F169E"/>
    <w:pPr>
      <w:widowControl w:val="0"/>
      <w:autoSpaceDE w:val="0"/>
      <w:autoSpaceDN w:val="0"/>
      <w:adjustRightInd w:val="0"/>
      <w:jc w:val="right"/>
    </w:pPr>
    <w:rPr>
      <w:rFonts w:cs="Arial"/>
      <w:szCs w:val="18"/>
    </w:rPr>
  </w:style>
  <w:style w:type="paragraph" w:customStyle="1" w:styleId="CopyrightText">
    <w:name w:val="Copyright Text"/>
    <w:basedOn w:val="BodyText"/>
    <w:rsid w:val="003F169E"/>
    <w:rPr>
      <w:sz w:val="18"/>
    </w:rPr>
  </w:style>
  <w:style w:type="paragraph" w:customStyle="1" w:styleId="BodySmallRight">
    <w:name w:val="Body Small Right"/>
    <w:basedOn w:val="BodyTextRight"/>
    <w:rsid w:val="003F169E"/>
    <w:rPr>
      <w:sz w:val="18"/>
      <w:szCs w:val="18"/>
    </w:rPr>
  </w:style>
  <w:style w:type="paragraph" w:customStyle="1" w:styleId="MarginEdition">
    <w:name w:val="Margin Edition"/>
    <w:basedOn w:val="MarginNote"/>
    <w:rsid w:val="003F169E"/>
    <w:pPr>
      <w:spacing w:before="0" w:after="0"/>
    </w:pPr>
    <w:rPr>
      <w:rFonts w:ascii="Times New Roman" w:hAnsi="Times New Roman"/>
      <w:color w:val="999999"/>
    </w:rPr>
  </w:style>
  <w:style w:type="paragraph" w:customStyle="1" w:styleId="Spacer">
    <w:name w:val="Spacer"/>
    <w:basedOn w:val="Normal"/>
    <w:rsid w:val="003F169E"/>
    <w:rPr>
      <w:sz w:val="2"/>
      <w:szCs w:val="2"/>
    </w:rPr>
  </w:style>
  <w:style w:type="character" w:customStyle="1" w:styleId="Small">
    <w:name w:val="Small"/>
    <w:basedOn w:val="DefaultParagraphFont"/>
    <w:rsid w:val="003F169E"/>
    <w:rPr>
      <w:sz w:val="16"/>
    </w:rPr>
  </w:style>
  <w:style w:type="paragraph" w:customStyle="1" w:styleId="WideTable">
    <w:name w:val="Wide Table"/>
    <w:basedOn w:val="Normal"/>
    <w:rsid w:val="003F169E"/>
    <w:pPr>
      <w:ind w:left="-1418"/>
    </w:pPr>
    <w:rPr>
      <w:sz w:val="2"/>
      <w:szCs w:val="2"/>
    </w:rPr>
  </w:style>
  <w:style w:type="character" w:styleId="PageNumber">
    <w:name w:val="page number"/>
    <w:basedOn w:val="DefaultParagraphFont"/>
    <w:rsid w:val="003F169E"/>
  </w:style>
  <w:style w:type="paragraph" w:styleId="Quote">
    <w:name w:val="Quote"/>
    <w:basedOn w:val="Heading1"/>
    <w:link w:val="QuoteChar"/>
    <w:qFormat/>
    <w:rsid w:val="003F169E"/>
    <w:rPr>
      <w:b w:val="0"/>
      <w:sz w:val="72"/>
      <w:szCs w:val="72"/>
      <w:lang w:val="en-NZ"/>
    </w:rPr>
  </w:style>
  <w:style w:type="character" w:customStyle="1" w:styleId="QuoteChar">
    <w:name w:val="Quote Char"/>
    <w:basedOn w:val="DefaultParagraphFont"/>
    <w:link w:val="Quote"/>
    <w:rsid w:val="003F16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169E"/>
    <w:pPr>
      <w:pageBreakBefore/>
    </w:pPr>
  </w:style>
  <w:style w:type="paragraph" w:customStyle="1" w:styleId="Border">
    <w:name w:val="Border"/>
    <w:basedOn w:val="Normal"/>
    <w:qFormat/>
    <w:rsid w:val="003F16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169E"/>
    <w:rPr>
      <w:b/>
      <w:bCs/>
      <w:i/>
      <w:iCs/>
      <w:color w:val="auto"/>
    </w:rPr>
  </w:style>
  <w:style w:type="paragraph" w:styleId="IntenseQuote">
    <w:name w:val="Intense Quote"/>
    <w:basedOn w:val="Normal"/>
    <w:next w:val="Normal"/>
    <w:link w:val="IntenseQuoteChar"/>
    <w:uiPriority w:val="30"/>
    <w:qFormat/>
    <w:rsid w:val="003F16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169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F169E"/>
    <w:rPr>
      <w:smallCaps/>
      <w:color w:val="auto"/>
      <w:u w:val="single"/>
    </w:rPr>
  </w:style>
  <w:style w:type="character" w:styleId="IntenseReference">
    <w:name w:val="Intense Reference"/>
    <w:basedOn w:val="DefaultParagraphFont"/>
    <w:uiPriority w:val="32"/>
    <w:qFormat/>
    <w:rsid w:val="003F169E"/>
    <w:rPr>
      <w:b/>
      <w:bCs/>
      <w:smallCaps/>
      <w:color w:val="auto"/>
      <w:spacing w:val="5"/>
      <w:u w:val="single"/>
    </w:rPr>
  </w:style>
  <w:style w:type="paragraph" w:customStyle="1" w:styleId="2ColumnHeading">
    <w:name w:val="2Column Heading"/>
    <w:basedOn w:val="BodyText"/>
    <w:qFormat/>
    <w:rsid w:val="003F169E"/>
    <w:pPr>
      <w:spacing w:after="60"/>
      <w:ind w:left="-2268"/>
    </w:pPr>
    <w:rPr>
      <w:b/>
    </w:rPr>
  </w:style>
  <w:style w:type="paragraph" w:customStyle="1" w:styleId="Heading1TOC">
    <w:name w:val="Heading1 TOC"/>
    <w:basedOn w:val="Normal"/>
    <w:qFormat/>
    <w:rsid w:val="003F169E"/>
    <w:pPr>
      <w:spacing w:before="240" w:after="120"/>
    </w:pPr>
    <w:rPr>
      <w:rFonts w:ascii="Times New Roman" w:hAnsi="Times New Roman"/>
      <w:b/>
      <w:sz w:val="32"/>
    </w:rPr>
  </w:style>
  <w:style w:type="paragraph" w:customStyle="1" w:styleId="Heading2TOC">
    <w:name w:val="Heading2 TOC"/>
    <w:basedOn w:val="Normal"/>
    <w:qFormat/>
    <w:rsid w:val="003F169E"/>
    <w:pPr>
      <w:spacing w:before="240" w:after="60"/>
    </w:pPr>
    <w:rPr>
      <w:rFonts w:ascii="Times New Roman" w:hAnsi="Times New Roman"/>
      <w:b/>
      <w:sz w:val="28"/>
    </w:rPr>
  </w:style>
  <w:style w:type="character" w:customStyle="1" w:styleId="Underline">
    <w:name w:val="Underline"/>
    <w:basedOn w:val="DefaultParagraphFont"/>
    <w:qFormat/>
    <w:rsid w:val="003F169E"/>
    <w:rPr>
      <w:u w:val="single"/>
    </w:rPr>
  </w:style>
  <w:style w:type="character" w:customStyle="1" w:styleId="BoldandItalics">
    <w:name w:val="Bold and Italics"/>
    <w:qFormat/>
    <w:rsid w:val="003F169E"/>
    <w:rPr>
      <w:b/>
      <w:i/>
      <w:u w:val="none"/>
    </w:rPr>
  </w:style>
  <w:style w:type="paragraph" w:styleId="BalloonText">
    <w:name w:val="Balloon Text"/>
    <w:basedOn w:val="Normal"/>
    <w:link w:val="BalloonTextChar"/>
    <w:rsid w:val="003F169E"/>
    <w:rPr>
      <w:rFonts w:ascii="Tahoma" w:hAnsi="Tahoma" w:cs="Tahoma"/>
      <w:sz w:val="16"/>
      <w:szCs w:val="16"/>
    </w:rPr>
  </w:style>
  <w:style w:type="character" w:customStyle="1" w:styleId="BalloonTextChar">
    <w:name w:val="Balloon Text Char"/>
    <w:basedOn w:val="DefaultParagraphFont"/>
    <w:link w:val="BalloonText"/>
    <w:rsid w:val="003F169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F169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F169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F169E"/>
    <w:rPr>
      <w:b/>
      <w:color w:val="660033"/>
      <w:spacing w:val="0"/>
    </w:rPr>
  </w:style>
  <w:style w:type="paragraph" w:customStyle="1" w:styleId="Nameditemlist">
    <w:name w:val="Named item list"/>
    <w:basedOn w:val="BodyText"/>
    <w:qFormat/>
    <w:rsid w:val="003F169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963</Words>
  <Characters>6151</Characters>
  <Application>Microsoft Office Word</Application>
  <DocSecurity>0</DocSecurity>
  <Lines>287</Lines>
  <Paragraphs>159</Paragraphs>
  <ScaleCrop>false</ScaleCrop>
  <Company>Author-it Software Corporation Ltd.</Company>
  <LinksUpToDate>false</LinksUpToDate>
  <CharactersWithSpaces>7028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MSFFL2023 Install laminate timber and bamboo flooring</dc:title>
  <dc:subject>Approved</dc:subject>
  <dc:creator>Manufacturing Skills Australia</dc:creator>
  <cp:keywords>Release: 2</cp:keywords>
  <dc:description>Review Date: 12 April 2008</dc:description>
  <cp:lastModifiedBy>HSD_TPCMSd.prod</cp:lastModifiedBy>
  <cp:revision>3</cp:revision>
  <dcterms:created xsi:type="dcterms:W3CDTF">2016-12-09T04:10:00Z</dcterms:created>
  <dcterms:modified xsi:type="dcterms:W3CDTF">2016-12-09T04:10:00Z</dcterms:modified>
</cp:coreProperties>
</file>