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11BF3" w:rsidP="00311BF3">
      <w:pPr>
        <w:pStyle w:val="Title"/>
      </w:pPr>
      <w:r>
        <w:fldChar w:fldCharType="begin"/>
      </w:r>
      <w:r>
        <w:instrText xml:space="preserve"> TITLE   \* MERGEFORMAT </w:instrText>
      </w:r>
      <w:r>
        <w:fldChar w:fldCharType="separate"/>
      </w:r>
      <w:r>
        <w:t>MSFFF3007 Apply graining and decorative finishes</w:t>
      </w:r>
      <w:r>
        <w:fldChar w:fldCharType="end"/>
      </w:r>
    </w:p>
    <w:p w:rsidR="00311BF3" w:rsidP="00311BF3">
      <w:pPr>
        <w:pStyle w:val="Version"/>
        <w:sectPr w:rsidSect="00096093">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96093" w:rsidP="00096093">
      <w:pPr>
        <w:pStyle w:val="SuperHeading"/>
      </w:pPr>
      <w:r w:rsidRPr="00096093">
        <w:t>MSFFF3007 Apply graining and decorative finishes</w:t>
      </w:r>
    </w:p>
    <w:p w:rsidR="00000000" w:rsidRPr="00096093" w:rsidP="00096093">
      <w:pPr>
        <w:pStyle w:val="Heading1"/>
      </w:pPr>
      <w:bookmarkStart w:id="1" w:name="O_631381"/>
      <w:bookmarkEnd w:id="1"/>
      <w:r w:rsidRPr="00096093">
        <w:t>Modification History</w:t>
      </w:r>
    </w:p>
    <w:p w:rsidR="00000000" w:rsidRPr="00096093" w:rsidP="00311BF3">
      <w:pPr>
        <w:pStyle w:val="BodyText"/>
      </w:pPr>
      <w:r w:rsidRPr="00096093">
        <w:t>Release 1 - New unit of competency</w:t>
      </w:r>
    </w:p>
    <w:p w:rsidR="00000000" w:rsidRPr="00096093" w:rsidP="00096093">
      <w:pPr>
        <w:pStyle w:val="Heading1"/>
      </w:pPr>
      <w:bookmarkStart w:id="2" w:name="O_631389"/>
      <w:bookmarkEnd w:id="2"/>
      <w:r w:rsidRPr="00096093">
        <w:t>Application</w:t>
      </w:r>
    </w:p>
    <w:p w:rsidR="00000000" w:rsidRPr="00096093" w:rsidP="00311BF3">
      <w:pPr>
        <w:pStyle w:val="BodyText"/>
      </w:pPr>
      <w:r w:rsidRPr="00096093">
        <w:t>This unit of competency covers applying material to a surface to imitate timber grain and decorative (faux) finishes</w:t>
      </w:r>
    </w:p>
    <w:p w:rsidR="00000000" w:rsidRPr="00096093" w:rsidP="00311BF3">
      <w:pPr>
        <w:pStyle w:val="BodyText"/>
      </w:pPr>
      <w:r w:rsidRPr="00096093">
        <w:t>No licensing, legislative or certification re</w:t>
      </w:r>
      <w:r w:rsidRPr="00096093">
        <w:t>quirements apply to this unit at the time of publication.</w:t>
      </w:r>
    </w:p>
    <w:p w:rsidR="00000000" w:rsidRPr="00096093" w:rsidP="00096093">
      <w:pPr>
        <w:pStyle w:val="Heading1"/>
      </w:pPr>
      <w:bookmarkStart w:id="3" w:name="O_631388"/>
      <w:bookmarkEnd w:id="3"/>
      <w:r w:rsidRPr="00096093">
        <w:t>Pre-requisite Unit</w:t>
      </w:r>
    </w:p>
    <w:p w:rsidR="00000000" w:rsidRPr="00096093" w:rsidP="00096093">
      <w:pPr>
        <w:pStyle w:val="Heading1"/>
      </w:pPr>
      <w:bookmarkStart w:id="4" w:name="O_631387"/>
      <w:bookmarkEnd w:id="4"/>
      <w:r w:rsidRPr="00096093">
        <w:t>Competency Field</w:t>
      </w:r>
    </w:p>
    <w:p w:rsidR="00000000" w:rsidRPr="00096093" w:rsidP="00096093">
      <w:pPr>
        <w:pStyle w:val="Heading1"/>
      </w:pPr>
      <w:bookmarkStart w:id="5" w:name="O_631386"/>
      <w:bookmarkEnd w:id="5"/>
      <w:r w:rsidRPr="00096093">
        <w:t>Unit Sector</w:t>
      </w:r>
    </w:p>
    <w:p w:rsidR="00000000" w:rsidRPr="00096093" w:rsidP="00311BF3">
      <w:pPr>
        <w:pStyle w:val="BodyText"/>
      </w:pPr>
      <w:r w:rsidRPr="00096093">
        <w:t>Furniture finishing</w:t>
      </w:r>
    </w:p>
    <w:p w:rsidR="00000000" w:rsidRPr="00096093" w:rsidP="00096093">
      <w:pPr>
        <w:pStyle w:val="Heading1"/>
      </w:pPr>
      <w:bookmarkStart w:id="6" w:name="O_631385"/>
      <w:bookmarkEnd w:id="6"/>
      <w:r w:rsidRPr="00096093">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096093">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096093">
            <w:pPr>
              <w:pStyle w:val="BodyText"/>
              <w:rPr>
                <w:lang w:val="en-NZ"/>
              </w:rPr>
            </w:pPr>
            <w:r w:rsidRPr="00096093">
              <w:t>Elements describe the essentia</w:t>
            </w:r>
            <w:r w:rsidRPr="00096093">
              <w:t>l outcomes.</w:t>
            </w:r>
          </w:p>
        </w:tc>
        <w:tc>
          <w:tcPr>
            <w:tcW w:w="6380" w:type="dxa"/>
            <w:gridSpan w:val="2"/>
            <w:tcBorders>
              <w:top w:val="nil"/>
              <w:left w:val="nil"/>
              <w:bottom w:val="nil"/>
              <w:right w:val="nil"/>
            </w:tcBorders>
            <w:tcMar>
              <w:top w:w="0" w:type="dxa"/>
              <w:left w:w="62" w:type="dxa"/>
              <w:bottom w:w="0" w:type="dxa"/>
              <w:right w:w="62" w:type="dxa"/>
            </w:tcMar>
          </w:tcPr>
          <w:p w:rsidR="00000000" w:rsidP="00096093">
            <w:pPr>
              <w:pStyle w:val="BodyText"/>
              <w:rPr>
                <w:lang w:val="en-NZ"/>
              </w:rPr>
            </w:pPr>
            <w:r w:rsidRPr="00096093">
              <w:t>Performance criteria describe the performance needed to demonstrate achievement of the element.</w:t>
            </w:r>
          </w:p>
        </w:tc>
      </w:tr>
      <w:tr w:rsidTr="00096093">
        <w:tblPrEx>
          <w:tblW w:w="0" w:type="auto"/>
          <w:tblLayout w:type="fixed"/>
          <w:tblCellMar>
            <w:left w:w="62" w:type="dxa"/>
            <w:right w:w="62" w:type="dxa"/>
          </w:tblCellMar>
          <w:tblLook w:val="0000"/>
        </w:tblPrEx>
        <w:tc>
          <w:tcPr>
            <w:tcW w:w="678" w:type="dxa"/>
            <w:vMerge w:val="restart"/>
            <w:tcBorders>
              <w:top w:val="nil"/>
              <w:left w:val="nil"/>
              <w:bottom w:val="nil"/>
              <w:right w:val="nil"/>
            </w:tcBorders>
            <w:tcMar>
              <w:top w:w="0" w:type="dxa"/>
              <w:left w:w="62" w:type="dxa"/>
              <w:bottom w:w="0" w:type="dxa"/>
              <w:right w:w="62" w:type="dxa"/>
            </w:tcMar>
          </w:tcPr>
          <w:p w:rsidR="00000000" w:rsidP="00096093">
            <w:pPr>
              <w:pStyle w:val="BodyText"/>
              <w:rPr>
                <w:lang w:val="en-NZ"/>
              </w:rPr>
            </w:pPr>
            <w:r w:rsidRPr="00096093">
              <w:t>1</w:t>
            </w:r>
          </w:p>
        </w:tc>
        <w:tc>
          <w:tcPr>
            <w:tcW w:w="1962" w:type="dxa"/>
            <w:vMerge w:val="restart"/>
            <w:tcBorders>
              <w:top w:val="nil"/>
              <w:left w:val="nil"/>
              <w:bottom w:val="nil"/>
              <w:right w:val="nil"/>
            </w:tcBorders>
            <w:tcMar>
              <w:top w:w="0" w:type="dxa"/>
              <w:left w:w="62" w:type="dxa"/>
              <w:bottom w:w="0" w:type="dxa"/>
              <w:right w:w="62" w:type="dxa"/>
            </w:tcMar>
          </w:tcPr>
          <w:p w:rsidR="00000000" w:rsidRPr="00096093" w:rsidP="00096093">
            <w:pPr>
              <w:pStyle w:val="BodyText"/>
            </w:pPr>
            <w:r w:rsidRPr="00096093">
              <w:t>Prepare for work</w:t>
            </w:r>
          </w:p>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96093">
            <w:pPr>
              <w:pStyle w:val="BodyText"/>
              <w:rPr>
                <w:lang w:val="en-NZ"/>
              </w:rPr>
            </w:pPr>
            <w:r w:rsidRPr="00096093">
              <w:t>1.1</w:t>
            </w:r>
          </w:p>
        </w:tc>
        <w:tc>
          <w:tcPr>
            <w:tcW w:w="5610" w:type="dxa"/>
            <w:tcBorders>
              <w:top w:val="nil"/>
              <w:left w:val="nil"/>
              <w:bottom w:val="nil"/>
              <w:right w:val="nil"/>
            </w:tcBorders>
            <w:tcMar>
              <w:top w:w="0" w:type="dxa"/>
              <w:left w:w="62" w:type="dxa"/>
              <w:bottom w:w="0" w:type="dxa"/>
              <w:right w:w="62" w:type="dxa"/>
            </w:tcMar>
          </w:tcPr>
          <w:p w:rsidR="00000000" w:rsidP="00096093">
            <w:pPr>
              <w:pStyle w:val="BodyText"/>
              <w:rPr>
                <w:lang w:val="en-NZ"/>
              </w:rPr>
            </w:pPr>
            <w:r w:rsidRPr="00096093">
              <w:t>Workplace information, including materials application and safety information, and material safety data sheets (MSDS), is used to inform work practices</w:t>
            </w:r>
          </w:p>
        </w:tc>
      </w:tr>
      <w:tr w:rsidTr="00096093">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96093">
            <w:pPr>
              <w:pStyle w:val="BodyText"/>
              <w:rPr>
                <w:lang w:val="en-NZ"/>
              </w:rPr>
            </w:pPr>
            <w:r w:rsidRPr="00096093">
              <w:t>1.2</w:t>
            </w:r>
          </w:p>
        </w:tc>
        <w:tc>
          <w:tcPr>
            <w:tcW w:w="5610" w:type="dxa"/>
            <w:tcBorders>
              <w:top w:val="nil"/>
              <w:left w:val="nil"/>
              <w:bottom w:val="nil"/>
              <w:right w:val="nil"/>
            </w:tcBorders>
            <w:tcMar>
              <w:top w:w="0" w:type="dxa"/>
              <w:left w:w="62" w:type="dxa"/>
              <w:bottom w:w="0" w:type="dxa"/>
              <w:right w:w="62" w:type="dxa"/>
            </w:tcMar>
          </w:tcPr>
          <w:p w:rsidR="00000000" w:rsidP="00096093">
            <w:pPr>
              <w:pStyle w:val="BodyText"/>
              <w:rPr>
                <w:lang w:val="en-NZ"/>
              </w:rPr>
            </w:pPr>
            <w:r w:rsidRPr="00096093">
              <w:t>Characteristics of the surface and the required surface treatment are identified from work orders</w:t>
            </w:r>
            <w:r w:rsidRPr="00096093">
              <w:t xml:space="preserve"> or instructions</w:t>
            </w:r>
          </w:p>
        </w:tc>
      </w:tr>
      <w:tr w:rsidTr="00096093">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96093">
            <w:pPr>
              <w:pStyle w:val="BodyText"/>
              <w:rPr>
                <w:lang w:val="en-NZ"/>
              </w:rPr>
            </w:pPr>
            <w:r w:rsidRPr="00096093">
              <w:t>1.3</w:t>
            </w:r>
          </w:p>
        </w:tc>
        <w:tc>
          <w:tcPr>
            <w:tcW w:w="5610" w:type="dxa"/>
            <w:tcBorders>
              <w:top w:val="nil"/>
              <w:left w:val="nil"/>
              <w:bottom w:val="nil"/>
              <w:right w:val="nil"/>
            </w:tcBorders>
            <w:tcMar>
              <w:top w:w="0" w:type="dxa"/>
              <w:left w:w="62" w:type="dxa"/>
              <w:bottom w:w="0" w:type="dxa"/>
              <w:right w:w="62" w:type="dxa"/>
            </w:tcMar>
          </w:tcPr>
          <w:p w:rsidR="00000000" w:rsidP="00096093">
            <w:pPr>
              <w:pStyle w:val="BodyText"/>
              <w:rPr>
                <w:lang w:val="en-NZ"/>
              </w:rPr>
            </w:pPr>
            <w:r w:rsidRPr="00096093">
              <w:t>Processing and application techniques, time and safety requirements are identified and used for work planning</w:t>
            </w:r>
          </w:p>
        </w:tc>
      </w:tr>
      <w:tr w:rsidTr="00096093">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96093">
            <w:pPr>
              <w:pStyle w:val="BodyText"/>
              <w:rPr>
                <w:lang w:val="en-NZ"/>
              </w:rPr>
            </w:pPr>
            <w:r w:rsidRPr="00096093">
              <w:t>1.4</w:t>
            </w:r>
          </w:p>
        </w:tc>
        <w:tc>
          <w:tcPr>
            <w:tcW w:w="5610" w:type="dxa"/>
            <w:tcBorders>
              <w:top w:val="nil"/>
              <w:left w:val="nil"/>
              <w:bottom w:val="nil"/>
              <w:right w:val="nil"/>
            </w:tcBorders>
            <w:tcMar>
              <w:top w:w="0" w:type="dxa"/>
              <w:left w:w="62" w:type="dxa"/>
              <w:bottom w:w="0" w:type="dxa"/>
              <w:right w:w="62" w:type="dxa"/>
            </w:tcMar>
          </w:tcPr>
          <w:p w:rsidR="00000000" w:rsidP="00096093">
            <w:pPr>
              <w:pStyle w:val="BodyText"/>
              <w:rPr>
                <w:lang w:val="en-NZ"/>
              </w:rPr>
            </w:pPr>
            <w:r w:rsidRPr="00096093">
              <w:t>Work health and safety (WHS) requirements, including ventilation requirements and personal protection needs, are observed throughout the work</w:t>
            </w:r>
          </w:p>
        </w:tc>
      </w:tr>
      <w:tr w:rsidTr="00096093">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96093">
            <w:pPr>
              <w:pStyle w:val="BodyText"/>
              <w:rPr>
                <w:lang w:val="en-NZ"/>
              </w:rPr>
            </w:pPr>
            <w:r w:rsidRPr="00096093">
              <w:t>1.5</w:t>
            </w:r>
          </w:p>
        </w:tc>
        <w:tc>
          <w:tcPr>
            <w:tcW w:w="5610" w:type="dxa"/>
            <w:tcBorders>
              <w:top w:val="nil"/>
              <w:left w:val="nil"/>
              <w:bottom w:val="nil"/>
              <w:right w:val="nil"/>
            </w:tcBorders>
            <w:tcMar>
              <w:top w:w="0" w:type="dxa"/>
              <w:left w:w="62" w:type="dxa"/>
              <w:bottom w:w="0" w:type="dxa"/>
              <w:right w:w="62" w:type="dxa"/>
            </w:tcMar>
          </w:tcPr>
          <w:p w:rsidR="00000000" w:rsidP="00096093">
            <w:pPr>
              <w:pStyle w:val="BodyText"/>
              <w:rPr>
                <w:lang w:val="en-NZ"/>
              </w:rPr>
            </w:pPr>
            <w:r w:rsidRPr="00096093">
              <w:t>Tools, equipment and accessories are identified and checked for safe and effective operation for the task</w:t>
            </w:r>
          </w:p>
        </w:tc>
      </w:tr>
      <w:tr w:rsidTr="00096093">
        <w:tblPrEx>
          <w:tblW w:w="0" w:type="auto"/>
          <w:tblLayout w:type="fixed"/>
          <w:tblCellMar>
            <w:left w:w="62" w:type="dxa"/>
            <w:right w:w="62" w:type="dxa"/>
          </w:tblCellMar>
          <w:tblLook w:val="0000"/>
        </w:tblPrEx>
        <w:tc>
          <w:tcPr>
            <w:tcW w:w="678" w:type="dxa"/>
            <w:vMerge w:val="restart"/>
            <w:tcBorders>
              <w:top w:val="nil"/>
              <w:left w:val="nil"/>
              <w:bottom w:val="nil"/>
              <w:right w:val="nil"/>
            </w:tcBorders>
            <w:tcMar>
              <w:top w:w="0" w:type="dxa"/>
              <w:left w:w="62" w:type="dxa"/>
              <w:bottom w:w="0" w:type="dxa"/>
              <w:right w:w="62" w:type="dxa"/>
            </w:tcMar>
          </w:tcPr>
          <w:p w:rsidR="00000000" w:rsidP="00096093">
            <w:pPr>
              <w:pStyle w:val="BodyText"/>
              <w:rPr>
                <w:lang w:val="en-NZ"/>
              </w:rPr>
            </w:pPr>
            <w:r w:rsidRPr="00096093">
              <w:t>2</w:t>
            </w:r>
          </w:p>
        </w:tc>
        <w:tc>
          <w:tcPr>
            <w:tcW w:w="1962" w:type="dxa"/>
            <w:vMerge w:val="restart"/>
            <w:tcBorders>
              <w:top w:val="nil"/>
              <w:left w:val="nil"/>
              <w:bottom w:val="nil"/>
              <w:right w:val="nil"/>
            </w:tcBorders>
            <w:tcMar>
              <w:top w:w="0" w:type="dxa"/>
              <w:left w:w="62" w:type="dxa"/>
              <w:bottom w:w="0" w:type="dxa"/>
              <w:right w:w="62" w:type="dxa"/>
            </w:tcMar>
          </w:tcPr>
          <w:p w:rsidR="00000000" w:rsidRPr="00096093" w:rsidP="00096093">
            <w:pPr>
              <w:pStyle w:val="BodyText"/>
            </w:pPr>
            <w:r w:rsidRPr="00096093">
              <w:t>Prepare for application of materials</w:t>
            </w:r>
          </w:p>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96093">
            <w:pPr>
              <w:pStyle w:val="BodyText"/>
              <w:rPr>
                <w:lang w:val="en-NZ"/>
              </w:rPr>
            </w:pPr>
            <w:r w:rsidRPr="00096093">
              <w:t>2.1</w:t>
            </w:r>
          </w:p>
        </w:tc>
        <w:tc>
          <w:tcPr>
            <w:tcW w:w="5610" w:type="dxa"/>
            <w:tcBorders>
              <w:top w:val="nil"/>
              <w:left w:val="nil"/>
              <w:bottom w:val="nil"/>
              <w:right w:val="nil"/>
            </w:tcBorders>
            <w:tcMar>
              <w:top w:w="0" w:type="dxa"/>
              <w:left w:w="62" w:type="dxa"/>
              <w:bottom w:w="0" w:type="dxa"/>
              <w:right w:w="62" w:type="dxa"/>
            </w:tcMar>
          </w:tcPr>
          <w:p w:rsidR="00000000" w:rsidP="00096093">
            <w:pPr>
              <w:pStyle w:val="BodyText"/>
              <w:rPr>
                <w:lang w:val="en-NZ"/>
              </w:rPr>
            </w:pPr>
            <w:r w:rsidRPr="00096093">
              <w:t>Surfaces are checked for contamination and correct preparation according to workplace procedures and standards</w:t>
            </w:r>
          </w:p>
        </w:tc>
      </w:tr>
      <w:tr w:rsidTr="00096093">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96093">
            <w:pPr>
              <w:pStyle w:val="BodyText"/>
              <w:rPr>
                <w:lang w:val="en-NZ"/>
              </w:rPr>
            </w:pPr>
            <w:r w:rsidRPr="00096093">
              <w:t>2.2</w:t>
            </w:r>
          </w:p>
        </w:tc>
        <w:tc>
          <w:tcPr>
            <w:tcW w:w="5610" w:type="dxa"/>
            <w:tcBorders>
              <w:top w:val="nil"/>
              <w:left w:val="nil"/>
              <w:bottom w:val="nil"/>
              <w:right w:val="nil"/>
            </w:tcBorders>
            <w:tcMar>
              <w:top w:w="0" w:type="dxa"/>
              <w:left w:w="62" w:type="dxa"/>
              <w:bottom w:w="0" w:type="dxa"/>
              <w:right w:w="62" w:type="dxa"/>
            </w:tcMar>
          </w:tcPr>
          <w:p w:rsidR="00000000" w:rsidP="00096093">
            <w:pPr>
              <w:pStyle w:val="BodyText"/>
              <w:rPr>
                <w:lang w:val="en-NZ"/>
              </w:rPr>
            </w:pPr>
            <w:r w:rsidRPr="00096093">
              <w:t>Products with surface or other faults are identified and faults repaired as appropriate</w:t>
            </w:r>
          </w:p>
        </w:tc>
      </w:tr>
      <w:tr w:rsidTr="00096093">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96093">
            <w:pPr>
              <w:pStyle w:val="BodyText"/>
              <w:rPr>
                <w:lang w:val="en-NZ"/>
              </w:rPr>
            </w:pPr>
            <w:r w:rsidRPr="00096093">
              <w:t>2.3</w:t>
            </w:r>
          </w:p>
        </w:tc>
        <w:tc>
          <w:tcPr>
            <w:tcW w:w="5610" w:type="dxa"/>
            <w:tcBorders>
              <w:top w:val="nil"/>
              <w:left w:val="nil"/>
              <w:bottom w:val="nil"/>
              <w:right w:val="nil"/>
            </w:tcBorders>
            <w:tcMar>
              <w:top w:w="0" w:type="dxa"/>
              <w:left w:w="62" w:type="dxa"/>
              <w:bottom w:w="0" w:type="dxa"/>
              <w:right w:w="62" w:type="dxa"/>
            </w:tcMar>
          </w:tcPr>
          <w:p w:rsidR="00000000" w:rsidP="00096093">
            <w:pPr>
              <w:pStyle w:val="BodyText"/>
              <w:rPr>
                <w:lang w:val="en-NZ"/>
              </w:rPr>
            </w:pPr>
            <w:r w:rsidRPr="00096093">
              <w:t>Materials required to complete the task are identified and prepared</w:t>
            </w:r>
          </w:p>
        </w:tc>
      </w:tr>
      <w:tr w:rsidTr="00096093">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96093">
            <w:pPr>
              <w:pStyle w:val="BodyText"/>
              <w:rPr>
                <w:lang w:val="en-NZ"/>
              </w:rPr>
            </w:pPr>
            <w:r w:rsidRPr="00096093">
              <w:t>2.4</w:t>
            </w:r>
          </w:p>
        </w:tc>
        <w:tc>
          <w:tcPr>
            <w:tcW w:w="5610" w:type="dxa"/>
            <w:tcBorders>
              <w:top w:val="nil"/>
              <w:left w:val="nil"/>
              <w:bottom w:val="nil"/>
              <w:right w:val="nil"/>
            </w:tcBorders>
            <w:tcMar>
              <w:top w:w="0" w:type="dxa"/>
              <w:left w:w="62" w:type="dxa"/>
              <w:bottom w:w="0" w:type="dxa"/>
              <w:right w:w="62" w:type="dxa"/>
            </w:tcMar>
          </w:tcPr>
          <w:p w:rsidR="00000000" w:rsidP="00096093">
            <w:pPr>
              <w:pStyle w:val="BodyText"/>
              <w:rPr>
                <w:lang w:val="en-NZ"/>
              </w:rPr>
            </w:pPr>
            <w:r w:rsidRPr="00096093">
              <w:t>Trial applications of material are made to check equipment operation, materials consistency, viscosity and sample match</w:t>
            </w:r>
          </w:p>
        </w:tc>
      </w:tr>
      <w:tr w:rsidTr="00096093">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96093">
            <w:pPr>
              <w:pStyle w:val="BodyText"/>
              <w:rPr>
                <w:lang w:val="en-NZ"/>
              </w:rPr>
            </w:pPr>
            <w:r w:rsidRPr="00096093">
              <w:t>2.5</w:t>
            </w:r>
          </w:p>
        </w:tc>
        <w:tc>
          <w:tcPr>
            <w:tcW w:w="5610" w:type="dxa"/>
            <w:tcBorders>
              <w:top w:val="nil"/>
              <w:left w:val="nil"/>
              <w:bottom w:val="nil"/>
              <w:right w:val="nil"/>
            </w:tcBorders>
            <w:tcMar>
              <w:top w:w="0" w:type="dxa"/>
              <w:left w:w="62" w:type="dxa"/>
              <w:bottom w:w="0" w:type="dxa"/>
              <w:right w:w="62" w:type="dxa"/>
            </w:tcMar>
          </w:tcPr>
          <w:p w:rsidR="00000000" w:rsidP="00096093">
            <w:pPr>
              <w:pStyle w:val="BodyText"/>
              <w:rPr>
                <w:lang w:val="en-NZ"/>
              </w:rPr>
            </w:pPr>
            <w:r w:rsidRPr="00096093">
              <w:t>Faults and or inconsistencies in colour and surface appearance are identified and workplace procedures for rectification and adjustment are followed</w:t>
            </w:r>
          </w:p>
        </w:tc>
      </w:tr>
      <w:tr w:rsidTr="00096093">
        <w:tblPrEx>
          <w:tblW w:w="0" w:type="auto"/>
          <w:tblLayout w:type="fixed"/>
          <w:tblCellMar>
            <w:left w:w="62" w:type="dxa"/>
            <w:right w:w="62" w:type="dxa"/>
          </w:tblCellMar>
          <w:tblLook w:val="0000"/>
        </w:tblPrEx>
        <w:tc>
          <w:tcPr>
            <w:tcW w:w="678" w:type="dxa"/>
            <w:vMerge w:val="restart"/>
            <w:tcBorders>
              <w:top w:val="nil"/>
              <w:left w:val="nil"/>
              <w:bottom w:val="nil"/>
              <w:right w:val="nil"/>
            </w:tcBorders>
            <w:tcMar>
              <w:top w:w="0" w:type="dxa"/>
              <w:left w:w="62" w:type="dxa"/>
              <w:bottom w:w="0" w:type="dxa"/>
              <w:right w:w="62" w:type="dxa"/>
            </w:tcMar>
          </w:tcPr>
          <w:p w:rsidR="00000000" w:rsidP="00096093">
            <w:pPr>
              <w:pStyle w:val="BodyText"/>
              <w:rPr>
                <w:lang w:val="en-NZ"/>
              </w:rPr>
            </w:pPr>
            <w:r w:rsidRPr="00096093">
              <w:t>3</w:t>
            </w:r>
          </w:p>
        </w:tc>
        <w:tc>
          <w:tcPr>
            <w:tcW w:w="1962" w:type="dxa"/>
            <w:vMerge w:val="restart"/>
            <w:tcBorders>
              <w:top w:val="nil"/>
              <w:left w:val="nil"/>
              <w:bottom w:val="nil"/>
              <w:right w:val="nil"/>
            </w:tcBorders>
            <w:tcMar>
              <w:top w:w="0" w:type="dxa"/>
              <w:left w:w="62" w:type="dxa"/>
              <w:bottom w:w="0" w:type="dxa"/>
              <w:right w:w="62" w:type="dxa"/>
            </w:tcMar>
          </w:tcPr>
          <w:p w:rsidR="00000000" w:rsidP="00096093">
            <w:pPr>
              <w:pStyle w:val="BodyText"/>
              <w:rPr>
                <w:lang w:val="en-NZ"/>
              </w:rPr>
            </w:pPr>
            <w:r w:rsidRPr="00096093">
              <w:t>Apply finishing materials</w:t>
            </w:r>
          </w:p>
        </w:tc>
        <w:tc>
          <w:tcPr>
            <w:tcW w:w="770" w:type="dxa"/>
            <w:tcBorders>
              <w:top w:val="nil"/>
              <w:left w:val="nil"/>
              <w:bottom w:val="nil"/>
              <w:right w:val="nil"/>
            </w:tcBorders>
            <w:tcMar>
              <w:top w:w="0" w:type="dxa"/>
              <w:left w:w="62" w:type="dxa"/>
              <w:bottom w:w="0" w:type="dxa"/>
              <w:right w:w="62" w:type="dxa"/>
            </w:tcMar>
          </w:tcPr>
          <w:p w:rsidR="00000000" w:rsidP="00096093">
            <w:pPr>
              <w:pStyle w:val="BodyText"/>
              <w:rPr>
                <w:lang w:val="en-NZ"/>
              </w:rPr>
            </w:pPr>
            <w:r w:rsidRPr="00096093">
              <w:t>3.1</w:t>
            </w:r>
          </w:p>
        </w:tc>
        <w:tc>
          <w:tcPr>
            <w:tcW w:w="5610" w:type="dxa"/>
            <w:tcBorders>
              <w:top w:val="nil"/>
              <w:left w:val="nil"/>
              <w:bottom w:val="nil"/>
              <w:right w:val="nil"/>
            </w:tcBorders>
            <w:tcMar>
              <w:top w:w="0" w:type="dxa"/>
              <w:left w:w="62" w:type="dxa"/>
              <w:bottom w:w="0" w:type="dxa"/>
              <w:right w:w="62" w:type="dxa"/>
            </w:tcMar>
          </w:tcPr>
          <w:p w:rsidR="00000000" w:rsidP="00096093">
            <w:pPr>
              <w:pStyle w:val="BodyText"/>
              <w:rPr>
                <w:lang w:val="en-NZ"/>
              </w:rPr>
            </w:pPr>
            <w:r w:rsidRPr="00096093">
              <w:t>Techniques for application of graining solution and other finishes are ide</w:t>
            </w:r>
            <w:r w:rsidRPr="00096093">
              <w:t>ntified</w:t>
            </w:r>
          </w:p>
        </w:tc>
      </w:tr>
      <w:tr w:rsidTr="00096093">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96093">
            <w:pPr>
              <w:pStyle w:val="BodyText"/>
              <w:rPr>
                <w:lang w:val="en-NZ"/>
              </w:rPr>
            </w:pPr>
            <w:r w:rsidRPr="00096093">
              <w:t>3.2</w:t>
            </w:r>
          </w:p>
        </w:tc>
        <w:tc>
          <w:tcPr>
            <w:tcW w:w="5610" w:type="dxa"/>
            <w:tcBorders>
              <w:top w:val="nil"/>
              <w:left w:val="nil"/>
              <w:bottom w:val="nil"/>
              <w:right w:val="nil"/>
            </w:tcBorders>
            <w:tcMar>
              <w:top w:w="0" w:type="dxa"/>
              <w:left w:w="62" w:type="dxa"/>
              <w:bottom w:w="0" w:type="dxa"/>
              <w:right w:w="62" w:type="dxa"/>
            </w:tcMar>
          </w:tcPr>
          <w:p w:rsidR="00000000" w:rsidP="00096093">
            <w:pPr>
              <w:pStyle w:val="BodyText"/>
              <w:rPr>
                <w:lang w:val="en-NZ"/>
              </w:rPr>
            </w:pPr>
            <w:r w:rsidRPr="00096093">
              <w:t>Materials are applied according to job instructions, manufacturer specifications and workplace procedures</w:t>
            </w:r>
          </w:p>
        </w:tc>
      </w:tr>
      <w:tr w:rsidTr="00096093">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96093">
            <w:pPr>
              <w:pStyle w:val="BodyText"/>
              <w:rPr>
                <w:lang w:val="en-NZ"/>
              </w:rPr>
            </w:pPr>
            <w:r w:rsidRPr="00096093">
              <w:t>3.3</w:t>
            </w:r>
          </w:p>
        </w:tc>
        <w:tc>
          <w:tcPr>
            <w:tcW w:w="5610" w:type="dxa"/>
            <w:tcBorders>
              <w:top w:val="nil"/>
              <w:left w:val="nil"/>
              <w:bottom w:val="nil"/>
              <w:right w:val="nil"/>
            </w:tcBorders>
            <w:tcMar>
              <w:top w:w="0" w:type="dxa"/>
              <w:left w:w="62" w:type="dxa"/>
              <w:bottom w:w="0" w:type="dxa"/>
              <w:right w:w="62" w:type="dxa"/>
            </w:tcMar>
          </w:tcPr>
          <w:p w:rsidR="00000000" w:rsidP="00096093">
            <w:pPr>
              <w:pStyle w:val="BodyText"/>
              <w:rPr>
                <w:lang w:val="en-NZ"/>
              </w:rPr>
            </w:pPr>
            <w:r w:rsidRPr="00096093">
              <w:t>Finished products are inspected and approved for suitability for further processing</w:t>
            </w:r>
          </w:p>
        </w:tc>
      </w:tr>
      <w:tr w:rsidTr="00096093">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96093">
            <w:pPr>
              <w:pStyle w:val="BodyText"/>
              <w:rPr>
                <w:lang w:val="en-NZ"/>
              </w:rPr>
            </w:pPr>
            <w:r w:rsidRPr="00096093">
              <w:t>3.4</w:t>
            </w:r>
          </w:p>
        </w:tc>
        <w:tc>
          <w:tcPr>
            <w:tcW w:w="5610" w:type="dxa"/>
            <w:tcBorders>
              <w:top w:val="nil"/>
              <w:left w:val="nil"/>
              <w:bottom w:val="nil"/>
              <w:right w:val="nil"/>
            </w:tcBorders>
            <w:tcMar>
              <w:top w:w="0" w:type="dxa"/>
              <w:left w:w="62" w:type="dxa"/>
              <w:bottom w:w="0" w:type="dxa"/>
              <w:right w:w="62" w:type="dxa"/>
            </w:tcMar>
          </w:tcPr>
          <w:p w:rsidR="00000000" w:rsidP="00096093">
            <w:pPr>
              <w:pStyle w:val="BodyText"/>
              <w:rPr>
                <w:lang w:val="en-NZ"/>
              </w:rPr>
            </w:pPr>
            <w:r w:rsidRPr="00096093">
              <w:t>Products which do not meet quality specifications are rectified or tagged for further investigation</w:t>
            </w:r>
          </w:p>
        </w:tc>
      </w:tr>
      <w:tr w:rsidTr="00096093">
        <w:tblPrEx>
          <w:tblW w:w="0" w:type="auto"/>
          <w:tblLayout w:type="fixed"/>
          <w:tblCellMar>
            <w:left w:w="62" w:type="dxa"/>
            <w:right w:w="62" w:type="dxa"/>
          </w:tblCellMar>
          <w:tblLook w:val="0000"/>
        </w:tblPrEx>
        <w:tc>
          <w:tcPr>
            <w:tcW w:w="678" w:type="dxa"/>
            <w:vMerge w:val="restart"/>
            <w:tcBorders>
              <w:top w:val="nil"/>
              <w:left w:val="nil"/>
              <w:bottom w:val="nil"/>
              <w:right w:val="nil"/>
            </w:tcBorders>
            <w:tcMar>
              <w:top w:w="0" w:type="dxa"/>
              <w:left w:w="62" w:type="dxa"/>
              <w:bottom w:w="0" w:type="dxa"/>
              <w:right w:w="62" w:type="dxa"/>
            </w:tcMar>
          </w:tcPr>
          <w:p w:rsidR="00000000" w:rsidP="00096093">
            <w:pPr>
              <w:pStyle w:val="BodyText"/>
              <w:rPr>
                <w:lang w:val="en-NZ"/>
              </w:rPr>
            </w:pPr>
            <w:r w:rsidRPr="00096093">
              <w:t>4</w:t>
            </w:r>
          </w:p>
        </w:tc>
        <w:tc>
          <w:tcPr>
            <w:tcW w:w="1962" w:type="dxa"/>
            <w:vMerge w:val="restart"/>
            <w:tcBorders>
              <w:top w:val="nil"/>
              <w:left w:val="nil"/>
              <w:bottom w:val="nil"/>
              <w:right w:val="nil"/>
            </w:tcBorders>
            <w:tcMar>
              <w:top w:w="0" w:type="dxa"/>
              <w:left w:w="62" w:type="dxa"/>
              <w:bottom w:w="0" w:type="dxa"/>
              <w:right w:w="62" w:type="dxa"/>
            </w:tcMar>
          </w:tcPr>
          <w:p w:rsidR="00000000" w:rsidP="00096093">
            <w:pPr>
              <w:pStyle w:val="BodyText"/>
              <w:rPr>
                <w:lang w:val="en-NZ"/>
              </w:rPr>
            </w:pPr>
            <w:r w:rsidRPr="00096093">
              <w:t>Clean work area and maintain equipment</w:t>
            </w:r>
          </w:p>
        </w:tc>
        <w:tc>
          <w:tcPr>
            <w:tcW w:w="770" w:type="dxa"/>
            <w:tcBorders>
              <w:top w:val="nil"/>
              <w:left w:val="nil"/>
              <w:bottom w:val="nil"/>
              <w:right w:val="nil"/>
            </w:tcBorders>
            <w:tcMar>
              <w:top w:w="0" w:type="dxa"/>
              <w:left w:w="62" w:type="dxa"/>
              <w:bottom w:w="0" w:type="dxa"/>
              <w:right w:w="62" w:type="dxa"/>
            </w:tcMar>
          </w:tcPr>
          <w:p w:rsidR="00000000" w:rsidP="00096093">
            <w:pPr>
              <w:pStyle w:val="BodyText"/>
              <w:rPr>
                <w:lang w:val="en-NZ"/>
              </w:rPr>
            </w:pPr>
            <w:r w:rsidRPr="00096093">
              <w:t>4.1</w:t>
            </w:r>
          </w:p>
        </w:tc>
        <w:tc>
          <w:tcPr>
            <w:tcW w:w="5610" w:type="dxa"/>
            <w:tcBorders>
              <w:top w:val="nil"/>
              <w:left w:val="nil"/>
              <w:bottom w:val="nil"/>
              <w:right w:val="nil"/>
            </w:tcBorders>
            <w:tcMar>
              <w:top w:w="0" w:type="dxa"/>
              <w:left w:w="62" w:type="dxa"/>
              <w:bottom w:w="0" w:type="dxa"/>
              <w:right w:w="62" w:type="dxa"/>
            </w:tcMar>
          </w:tcPr>
          <w:p w:rsidR="00000000" w:rsidP="00096093">
            <w:pPr>
              <w:pStyle w:val="BodyText"/>
              <w:rPr>
                <w:lang w:val="en-NZ"/>
              </w:rPr>
            </w:pPr>
            <w:r w:rsidRPr="00096093">
              <w:t>Equipment used is cleaned and inspected for serviceable condition and stored appropriately</w:t>
            </w:r>
          </w:p>
        </w:tc>
      </w:tr>
      <w:tr w:rsidTr="00096093">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96093">
            <w:pPr>
              <w:pStyle w:val="BodyText"/>
              <w:rPr>
                <w:lang w:val="en-NZ"/>
              </w:rPr>
            </w:pPr>
            <w:r w:rsidRPr="00096093">
              <w:t>4.2</w:t>
            </w:r>
          </w:p>
        </w:tc>
        <w:tc>
          <w:tcPr>
            <w:tcW w:w="5610" w:type="dxa"/>
            <w:tcBorders>
              <w:top w:val="nil"/>
              <w:left w:val="nil"/>
              <w:bottom w:val="nil"/>
              <w:right w:val="nil"/>
            </w:tcBorders>
            <w:tcMar>
              <w:top w:w="0" w:type="dxa"/>
              <w:left w:w="62" w:type="dxa"/>
              <w:bottom w:w="0" w:type="dxa"/>
              <w:right w:w="62" w:type="dxa"/>
            </w:tcMar>
          </w:tcPr>
          <w:p w:rsidR="00000000" w:rsidP="00096093">
            <w:pPr>
              <w:pStyle w:val="BodyText"/>
              <w:rPr>
                <w:lang w:val="en-NZ"/>
              </w:rPr>
            </w:pPr>
            <w:r w:rsidRPr="00096093">
              <w:t>Unserviceable equipment is tagged, faults are identified and appropriate personnel are informed</w:t>
            </w:r>
          </w:p>
        </w:tc>
      </w:tr>
      <w:tr w:rsidTr="00096093">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96093">
            <w:pPr>
              <w:pStyle w:val="BodyText"/>
              <w:rPr>
                <w:lang w:val="en-NZ"/>
              </w:rPr>
            </w:pPr>
            <w:r w:rsidRPr="00096093">
              <w:t>4.3</w:t>
            </w:r>
          </w:p>
        </w:tc>
        <w:tc>
          <w:tcPr>
            <w:tcW w:w="5610" w:type="dxa"/>
            <w:tcBorders>
              <w:top w:val="nil"/>
              <w:left w:val="nil"/>
              <w:bottom w:val="nil"/>
              <w:right w:val="nil"/>
            </w:tcBorders>
            <w:tcMar>
              <w:top w:w="0" w:type="dxa"/>
              <w:left w:w="62" w:type="dxa"/>
              <w:bottom w:w="0" w:type="dxa"/>
              <w:right w:w="62" w:type="dxa"/>
            </w:tcMar>
          </w:tcPr>
          <w:p w:rsidR="00000000" w:rsidP="00096093">
            <w:pPr>
              <w:pStyle w:val="BodyText"/>
              <w:rPr>
                <w:lang w:val="en-NZ"/>
              </w:rPr>
            </w:pPr>
            <w:r w:rsidRPr="00096093">
              <w:t>Work area is cleaned and returned to approved condition, and all areas used for bleaching are washed down with water</w:t>
            </w:r>
          </w:p>
        </w:tc>
      </w:tr>
      <w:tr w:rsidTr="00096093">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96093">
            <w:pPr>
              <w:pStyle w:val="BodyText"/>
              <w:rPr>
                <w:lang w:val="en-NZ"/>
              </w:rPr>
            </w:pPr>
            <w:r w:rsidRPr="00096093">
              <w:t>4.4</w:t>
            </w:r>
          </w:p>
        </w:tc>
        <w:tc>
          <w:tcPr>
            <w:tcW w:w="5610" w:type="dxa"/>
            <w:tcBorders>
              <w:top w:val="nil"/>
              <w:left w:val="nil"/>
              <w:bottom w:val="nil"/>
              <w:right w:val="nil"/>
            </w:tcBorders>
            <w:tcMar>
              <w:top w:w="0" w:type="dxa"/>
              <w:left w:w="62" w:type="dxa"/>
              <w:bottom w:w="0" w:type="dxa"/>
              <w:right w:w="62" w:type="dxa"/>
            </w:tcMar>
          </w:tcPr>
          <w:p w:rsidR="00000000" w:rsidRPr="00096093" w:rsidP="00096093">
            <w:pPr>
              <w:pStyle w:val="BodyText"/>
            </w:pPr>
            <w:r w:rsidRPr="00096093">
              <w:t>Workplace records are complet</w:t>
            </w:r>
            <w:r w:rsidRPr="00096093">
              <w:t>ed</w:t>
            </w:r>
          </w:p>
        </w:tc>
      </w:tr>
    </w:tbl>
    <w:p w:rsidR="00311BF3" w:rsidP="00096093">
      <w:pPr>
        <w:pStyle w:val="BodyText"/>
      </w:pPr>
    </w:p>
    <w:p w:rsidR="00311BF3" w:rsidP="00096093">
      <w:pPr>
        <w:pStyle w:val="BodyText"/>
      </w:pPr>
    </w:p>
    <w:p w:rsidR="00000000" w:rsidRPr="00096093" w:rsidP="00096093">
      <w:pPr>
        <w:pStyle w:val="Heading1"/>
      </w:pPr>
      <w:bookmarkStart w:id="7" w:name="O_631384"/>
      <w:bookmarkEnd w:id="7"/>
      <w:r w:rsidRPr="00096093">
        <w:t>Foundation Skills</w:t>
      </w:r>
    </w:p>
    <w:p w:rsidR="00311BF3" w:rsidP="00311BF3">
      <w:pPr>
        <w:pStyle w:val="BodyText"/>
      </w:pPr>
      <w:r w:rsidRPr="00096093">
        <w:t xml:space="preserve">Foundation skills essential to performance are explicit in the performance criteria of this unit of competency. Detail on appropriate performance levels for each </w:t>
      </w:r>
      <w:r w:rsidRPr="00096093">
        <w:t xml:space="preserve">furnishing unit of competency in reading, writing, oral communication and numeracy utilising the Australian Core Skills Framework (ACSF) are provided in the Furnishing Training Package Implementation Guide. </w:t>
      </w:r>
    </w:p>
    <w:p w:rsidR="00000000" w:rsidRPr="00096093" w:rsidP="00096093">
      <w:pPr>
        <w:pStyle w:val="Heading1"/>
      </w:pPr>
      <w:bookmarkStart w:id="8" w:name="O_631383"/>
      <w:bookmarkEnd w:id="8"/>
      <w:r w:rsidRPr="00096093">
        <w:t>Range of Conditions</w:t>
      </w:r>
    </w:p>
    <w:tbl>
      <w:tblPr>
        <w:tblW w:w="0" w:type="auto"/>
        <w:tblLayout w:type="fixed"/>
        <w:tblCellMar>
          <w:left w:w="62" w:type="dxa"/>
          <w:right w:w="62" w:type="dxa"/>
        </w:tblCellMar>
        <w:tblLook w:val="0000"/>
      </w:tblPr>
      <w:tblGrid>
        <w:gridCol w:w="2760"/>
        <w:gridCol w:w="6312"/>
      </w:tblGrid>
      <w:tr w:rsidTr="00096093">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096093">
            <w:pPr>
              <w:pStyle w:val="BodyText"/>
              <w:rPr>
                <w:lang w:val="en-NZ"/>
              </w:rPr>
            </w:pPr>
            <w:r w:rsidRPr="00096093">
              <w:t xml:space="preserve">Specifies </w:t>
            </w:r>
            <w:r w:rsidRPr="00096093">
              <w:t>different work environments and conditions that may affect performance. Essential operating conditions that may be present (depending on the work situation, needs of the candidate, accessibility of the item, and local industry and regional contexts) are in</w:t>
            </w:r>
            <w:r w:rsidRPr="00096093">
              <w:t>cluded. Range is restricted to essential operating conditions and any other variables essential to the work environment.</w:t>
            </w:r>
          </w:p>
        </w:tc>
      </w:tr>
      <w:tr w:rsidTr="00096093">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096093">
            <w:pPr>
              <w:pStyle w:val="BodyText"/>
              <w:rPr>
                <w:lang w:val="en-NZ"/>
              </w:rPr>
            </w:pPr>
            <w:r w:rsidRPr="00096093">
              <w:rPr>
                <w:rStyle w:val="SpecialBold"/>
              </w:rPr>
              <w:t>Unit context includes:</w:t>
            </w:r>
          </w:p>
        </w:tc>
        <w:tc>
          <w:tcPr>
            <w:tcW w:w="6312" w:type="dxa"/>
            <w:tcBorders>
              <w:top w:val="nil"/>
              <w:left w:val="nil"/>
              <w:bottom w:val="nil"/>
              <w:right w:val="nil"/>
            </w:tcBorders>
            <w:tcMar>
              <w:top w:w="0" w:type="dxa"/>
              <w:left w:w="62" w:type="dxa"/>
              <w:bottom w:w="0" w:type="dxa"/>
              <w:right w:w="62" w:type="dxa"/>
            </w:tcMar>
          </w:tcPr>
          <w:p w:rsidR="00000000" w:rsidRPr="00096093" w:rsidP="00096093">
            <w:pPr>
              <w:pStyle w:val="ListBullet"/>
            </w:pPr>
            <w:r w:rsidRPr="00096093">
              <w:t>WHS requirements, including legislation, building codes, material safety management systems, hazardous and da</w:t>
            </w:r>
            <w:r w:rsidRPr="00096093">
              <w:t xml:space="preserve">ngerous goods codes, and local safe operating procedures or equivalent </w:t>
            </w:r>
          </w:p>
          <w:p w:rsidR="00000000" w:rsidRPr="00096093" w:rsidP="00096093">
            <w:pPr>
              <w:pStyle w:val="ListBullet"/>
            </w:pPr>
            <w:r w:rsidRPr="00096093">
              <w:t xml:space="preserve">work is carried out in accordance with legislative obligations, environmental legislation, relevant health regulations, manual handling procedures and organisation insurance requirements </w:t>
            </w:r>
          </w:p>
          <w:p w:rsidR="00000000" w:rsidP="00096093">
            <w:pPr>
              <w:pStyle w:val="ListBullet"/>
              <w:rPr>
                <w:lang w:val="en-NZ"/>
              </w:rPr>
            </w:pPr>
            <w:r w:rsidRPr="00096093">
              <w:t xml:space="preserve">work requires individuals to demonstrate some discretion, judgement </w:t>
            </w:r>
            <w:r w:rsidRPr="00096093">
              <w:t>and problem solving in the application of surface coatings</w:t>
            </w:r>
          </w:p>
        </w:tc>
      </w:tr>
      <w:tr w:rsidTr="00096093">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096093">
            <w:pPr>
              <w:pStyle w:val="BodyText"/>
              <w:rPr>
                <w:lang w:val="en-NZ"/>
              </w:rPr>
            </w:pPr>
            <w:r w:rsidRPr="00096093">
              <w:rPr>
                <w:rStyle w:val="SpecialBold"/>
              </w:rPr>
              <w:t>Graining and decorative finishes include:</w:t>
            </w:r>
          </w:p>
        </w:tc>
        <w:tc>
          <w:tcPr>
            <w:tcW w:w="6312" w:type="dxa"/>
            <w:tcBorders>
              <w:top w:val="nil"/>
              <w:left w:val="nil"/>
              <w:bottom w:val="nil"/>
              <w:right w:val="nil"/>
            </w:tcBorders>
            <w:tcMar>
              <w:top w:w="0" w:type="dxa"/>
              <w:left w:w="62" w:type="dxa"/>
              <w:bottom w:w="0" w:type="dxa"/>
              <w:right w:w="62" w:type="dxa"/>
            </w:tcMar>
          </w:tcPr>
          <w:p w:rsidR="00000000" w:rsidRPr="00096093" w:rsidP="00096093">
            <w:pPr>
              <w:pStyle w:val="ListBullet"/>
            </w:pPr>
            <w:r w:rsidRPr="00096093">
              <w:t>ragging</w:t>
            </w:r>
          </w:p>
          <w:p w:rsidR="00000000" w:rsidRPr="00096093" w:rsidP="00096093">
            <w:pPr>
              <w:pStyle w:val="ListBullet"/>
            </w:pPr>
            <w:r w:rsidRPr="00096093">
              <w:t>stippling</w:t>
            </w:r>
          </w:p>
          <w:p w:rsidR="00000000" w:rsidRPr="00096093" w:rsidP="00096093">
            <w:pPr>
              <w:pStyle w:val="ListBullet"/>
            </w:pPr>
            <w:r w:rsidRPr="00096093">
              <w:t>ageing</w:t>
            </w:r>
          </w:p>
          <w:p w:rsidR="00000000" w:rsidRPr="00096093" w:rsidP="00096093">
            <w:pPr>
              <w:pStyle w:val="ListBullet"/>
            </w:pPr>
            <w:r w:rsidRPr="00096093">
              <w:t xml:space="preserve">distressing </w:t>
            </w:r>
          </w:p>
          <w:p w:rsidR="00000000" w:rsidP="00096093">
            <w:pPr>
              <w:pStyle w:val="ListBullet"/>
              <w:rPr>
                <w:lang w:val="en-NZ"/>
              </w:rPr>
            </w:pPr>
            <w:r w:rsidRPr="00096093">
              <w:t>others</w:t>
            </w:r>
          </w:p>
        </w:tc>
      </w:tr>
      <w:tr w:rsidTr="00096093">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096093">
            <w:pPr>
              <w:pStyle w:val="BodyText"/>
              <w:rPr>
                <w:lang w:val="en-NZ"/>
              </w:rPr>
            </w:pPr>
            <w:r w:rsidRPr="00096093">
              <w:rPr>
                <w:rStyle w:val="SpecialBold"/>
              </w:rPr>
              <w:t>Surfaces include:</w:t>
            </w:r>
          </w:p>
        </w:tc>
        <w:tc>
          <w:tcPr>
            <w:tcW w:w="6312" w:type="dxa"/>
            <w:tcBorders>
              <w:top w:val="nil"/>
              <w:left w:val="nil"/>
              <w:bottom w:val="nil"/>
              <w:right w:val="nil"/>
            </w:tcBorders>
            <w:tcMar>
              <w:top w:w="0" w:type="dxa"/>
              <w:left w:w="62" w:type="dxa"/>
              <w:bottom w:w="0" w:type="dxa"/>
              <w:right w:w="62" w:type="dxa"/>
            </w:tcMar>
          </w:tcPr>
          <w:p w:rsidR="00000000" w:rsidRPr="00096093" w:rsidP="00096093">
            <w:pPr>
              <w:pStyle w:val="ListBullet"/>
            </w:pPr>
            <w:r w:rsidRPr="00096093">
              <w:t xml:space="preserve">solid timber </w:t>
            </w:r>
          </w:p>
          <w:p w:rsidR="00000000" w:rsidRPr="00096093" w:rsidP="00096093">
            <w:pPr>
              <w:pStyle w:val="ListBullet"/>
            </w:pPr>
            <w:r w:rsidRPr="00096093">
              <w:t xml:space="preserve">manufactured board </w:t>
            </w:r>
          </w:p>
          <w:p w:rsidR="00000000" w:rsidP="00096093">
            <w:pPr>
              <w:pStyle w:val="ListBullet"/>
              <w:rPr>
                <w:lang w:val="en-NZ"/>
              </w:rPr>
            </w:pPr>
            <w:r w:rsidRPr="00096093">
              <w:t xml:space="preserve">metal </w:t>
            </w:r>
          </w:p>
        </w:tc>
      </w:tr>
      <w:tr w:rsidTr="00096093">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RPr="00096093" w:rsidP="00096093">
            <w:pPr>
              <w:pStyle w:val="BodyText"/>
            </w:pPr>
            <w:r w:rsidRPr="00096093">
              <w:rPr>
                <w:rStyle w:val="SpecialBold"/>
              </w:rPr>
              <w:t>Tools and equipment include:</w:t>
            </w:r>
          </w:p>
          <w:p w:rsidR="00000000" w:rsidP="00096093">
            <w:pPr>
              <w:pStyle w:val="BodyText"/>
              <w:rPr>
                <w:lang w:val="en-NZ"/>
              </w:rPr>
            </w:pPr>
          </w:p>
        </w:tc>
        <w:tc>
          <w:tcPr>
            <w:tcW w:w="6312" w:type="dxa"/>
            <w:tcBorders>
              <w:top w:val="nil"/>
              <w:left w:val="nil"/>
              <w:bottom w:val="nil"/>
              <w:right w:val="nil"/>
            </w:tcBorders>
            <w:tcMar>
              <w:top w:w="0" w:type="dxa"/>
              <w:left w:w="62" w:type="dxa"/>
              <w:bottom w:w="0" w:type="dxa"/>
              <w:right w:w="62" w:type="dxa"/>
            </w:tcMar>
          </w:tcPr>
          <w:p w:rsidR="00000000" w:rsidRPr="00096093" w:rsidP="00096093">
            <w:pPr>
              <w:pStyle w:val="ListBullet"/>
            </w:pPr>
            <w:r w:rsidRPr="00096093">
              <w:t>liquid containers</w:t>
            </w:r>
          </w:p>
          <w:p w:rsidR="00000000" w:rsidRPr="00096093" w:rsidP="00096093">
            <w:pPr>
              <w:pStyle w:val="ListBullet"/>
            </w:pPr>
            <w:r w:rsidRPr="00096093">
              <w:t>rubber gloves</w:t>
            </w:r>
          </w:p>
          <w:p w:rsidR="00000000" w:rsidRPr="00096093" w:rsidP="00096093">
            <w:pPr>
              <w:pStyle w:val="ListBullet"/>
            </w:pPr>
            <w:r w:rsidRPr="00096093">
              <w:t>face masks</w:t>
            </w:r>
          </w:p>
          <w:p w:rsidR="00000000" w:rsidRPr="00096093" w:rsidP="00096093">
            <w:pPr>
              <w:pStyle w:val="ListBullet"/>
            </w:pPr>
            <w:r w:rsidRPr="00096093">
              <w:t>spray booths</w:t>
            </w:r>
          </w:p>
          <w:p w:rsidR="00000000" w:rsidRPr="00096093" w:rsidP="00096093">
            <w:pPr>
              <w:pStyle w:val="ListBullet"/>
            </w:pPr>
            <w:r w:rsidRPr="00096093">
              <w:t>spray guns</w:t>
            </w:r>
          </w:p>
          <w:p w:rsidR="00000000" w:rsidRPr="00096093" w:rsidP="00096093">
            <w:pPr>
              <w:pStyle w:val="ListBullet"/>
            </w:pPr>
            <w:r w:rsidRPr="00096093">
              <w:t>compressor</w:t>
            </w:r>
          </w:p>
          <w:p w:rsidR="00000000" w:rsidRPr="00096093" w:rsidP="00096093">
            <w:pPr>
              <w:pStyle w:val="ListBullet"/>
            </w:pPr>
            <w:r w:rsidRPr="00096093">
              <w:t>air lines</w:t>
            </w:r>
          </w:p>
          <w:p w:rsidR="00000000" w:rsidRPr="00096093" w:rsidP="00096093">
            <w:pPr>
              <w:pStyle w:val="ListBullet"/>
            </w:pPr>
            <w:r w:rsidRPr="00096093">
              <w:t>brushes</w:t>
            </w:r>
          </w:p>
          <w:p w:rsidR="00000000" w:rsidRPr="00096093" w:rsidP="00096093">
            <w:pPr>
              <w:pStyle w:val="ListBullet"/>
            </w:pPr>
            <w:r w:rsidRPr="00096093">
              <w:t>sanding block</w:t>
            </w:r>
          </w:p>
          <w:p w:rsidR="00000000" w:rsidRPr="00096093" w:rsidP="00096093">
            <w:pPr>
              <w:pStyle w:val="ListBullet"/>
            </w:pPr>
            <w:r w:rsidRPr="00096093">
              <w:t>brushes</w:t>
            </w:r>
          </w:p>
          <w:p w:rsidR="00000000" w:rsidP="00096093">
            <w:pPr>
              <w:pStyle w:val="ListBullet"/>
              <w:rPr>
                <w:lang w:val="en-NZ"/>
              </w:rPr>
            </w:pPr>
            <w:r w:rsidRPr="00096093">
              <w:t>graining tools</w:t>
            </w:r>
          </w:p>
        </w:tc>
      </w:tr>
      <w:tr w:rsidTr="00096093">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096093">
            <w:pPr>
              <w:pStyle w:val="BodyText"/>
              <w:rPr>
                <w:lang w:val="en-NZ"/>
              </w:rPr>
            </w:pPr>
            <w:r w:rsidRPr="00096093">
              <w:rPr>
                <w:rStyle w:val="SpecialBold"/>
              </w:rPr>
              <w:t>Materials include:</w:t>
            </w:r>
          </w:p>
        </w:tc>
        <w:tc>
          <w:tcPr>
            <w:tcW w:w="6312" w:type="dxa"/>
            <w:tcBorders>
              <w:top w:val="nil"/>
              <w:left w:val="nil"/>
              <w:bottom w:val="nil"/>
              <w:right w:val="nil"/>
            </w:tcBorders>
            <w:tcMar>
              <w:top w:w="0" w:type="dxa"/>
              <w:left w:w="62" w:type="dxa"/>
              <w:bottom w:w="0" w:type="dxa"/>
              <w:right w:w="62" w:type="dxa"/>
            </w:tcMar>
          </w:tcPr>
          <w:p w:rsidR="00000000" w:rsidRPr="00096093" w:rsidP="00096093">
            <w:pPr>
              <w:pStyle w:val="ListBullet"/>
            </w:pPr>
            <w:r w:rsidRPr="00096093">
              <w:t>water</w:t>
            </w:r>
          </w:p>
          <w:p w:rsidR="00000000" w:rsidRPr="00096093" w:rsidP="00096093">
            <w:pPr>
              <w:pStyle w:val="ListBullet"/>
            </w:pPr>
            <w:r w:rsidRPr="00096093">
              <w:t>abrasive papers</w:t>
            </w:r>
          </w:p>
          <w:p w:rsidR="00000000" w:rsidRPr="00096093" w:rsidP="00096093">
            <w:pPr>
              <w:pStyle w:val="ListBullet"/>
            </w:pPr>
            <w:r w:rsidRPr="00096093">
              <w:t>cotton rags</w:t>
            </w:r>
          </w:p>
          <w:p w:rsidR="00000000" w:rsidRPr="00096093" w:rsidP="00096093">
            <w:pPr>
              <w:pStyle w:val="ListBullet"/>
            </w:pPr>
            <w:r w:rsidRPr="00096093">
              <w:t>hessian</w:t>
            </w:r>
          </w:p>
          <w:p w:rsidR="00000000" w:rsidRPr="00096093" w:rsidP="00096093">
            <w:pPr>
              <w:pStyle w:val="ListBullet"/>
            </w:pPr>
            <w:r w:rsidRPr="00096093">
              <w:t>lacquer-based wiping stain</w:t>
            </w:r>
          </w:p>
          <w:p w:rsidR="00000000" w:rsidRPr="00096093" w:rsidP="00096093">
            <w:pPr>
              <w:pStyle w:val="ListBullet"/>
            </w:pPr>
            <w:r w:rsidRPr="00096093">
              <w:t>polyurethane wiping stain</w:t>
            </w:r>
          </w:p>
          <w:p w:rsidR="00000000" w:rsidRPr="00096093" w:rsidP="00096093">
            <w:pPr>
              <w:pStyle w:val="ListBullet"/>
            </w:pPr>
            <w:r w:rsidRPr="00096093">
              <w:t>spirit stain</w:t>
            </w:r>
          </w:p>
          <w:p w:rsidR="00000000" w:rsidRPr="00096093" w:rsidP="00096093">
            <w:pPr>
              <w:pStyle w:val="ListBullet"/>
            </w:pPr>
            <w:r w:rsidRPr="00096093">
              <w:t>pigment oil stain</w:t>
            </w:r>
          </w:p>
          <w:p w:rsidR="00000000" w:rsidRPr="00096093" w:rsidP="00096093">
            <w:pPr>
              <w:pStyle w:val="ListBullet"/>
            </w:pPr>
            <w:r w:rsidRPr="00096093">
              <w:t>proprietary brand stains</w:t>
            </w:r>
          </w:p>
          <w:p w:rsidR="00000000" w:rsidRPr="00096093" w:rsidP="00096093">
            <w:pPr>
              <w:pStyle w:val="ListBullet"/>
            </w:pPr>
            <w:r w:rsidRPr="00096093">
              <w:t>pigments</w:t>
            </w:r>
          </w:p>
          <w:p w:rsidR="00000000" w:rsidRPr="00096093" w:rsidP="00096093">
            <w:pPr>
              <w:pStyle w:val="ListBullet"/>
            </w:pPr>
            <w:r w:rsidRPr="00096093">
              <w:t>acrylic paint</w:t>
            </w:r>
          </w:p>
          <w:p w:rsidR="00000000" w:rsidP="00096093">
            <w:pPr>
              <w:pStyle w:val="ListBullet"/>
              <w:rPr>
                <w:lang w:val="en-NZ"/>
              </w:rPr>
            </w:pPr>
            <w:r w:rsidRPr="00096093">
              <w:t>enamel</w:t>
            </w:r>
          </w:p>
        </w:tc>
      </w:tr>
      <w:tr w:rsidTr="00096093">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096093">
            <w:pPr>
              <w:pStyle w:val="BodyText"/>
              <w:rPr>
                <w:lang w:val="en-NZ"/>
              </w:rPr>
            </w:pPr>
            <w:r w:rsidRPr="00096093">
              <w:rPr>
                <w:rStyle w:val="SpecialBold"/>
              </w:rPr>
              <w:t>Personal protective equipment includes:</w:t>
            </w:r>
          </w:p>
        </w:tc>
        <w:tc>
          <w:tcPr>
            <w:tcW w:w="6312" w:type="dxa"/>
            <w:tcBorders>
              <w:top w:val="nil"/>
              <w:left w:val="nil"/>
              <w:bottom w:val="nil"/>
              <w:right w:val="nil"/>
            </w:tcBorders>
            <w:tcMar>
              <w:top w:w="0" w:type="dxa"/>
              <w:left w:w="62" w:type="dxa"/>
              <w:bottom w:w="0" w:type="dxa"/>
              <w:right w:w="62" w:type="dxa"/>
            </w:tcMar>
          </w:tcPr>
          <w:p w:rsidR="00000000" w:rsidP="00096093">
            <w:pPr>
              <w:pStyle w:val="ListBullet"/>
              <w:rPr>
                <w:lang w:val="en-NZ"/>
              </w:rPr>
            </w:pPr>
            <w:r w:rsidRPr="00096093">
              <w:t xml:space="preserve">that prescribed under legislation, regulations and enterprise policies and practices </w:t>
            </w:r>
          </w:p>
        </w:tc>
      </w:tr>
      <w:tr w:rsidTr="00096093">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RPr="00096093" w:rsidP="00096093">
            <w:pPr>
              <w:pStyle w:val="BodyText"/>
            </w:pPr>
            <w:r w:rsidRPr="00096093">
              <w:rPr>
                <w:rStyle w:val="SpecialBold"/>
              </w:rPr>
              <w:t>Information and procedures include:</w:t>
            </w:r>
          </w:p>
          <w:p w:rsidR="00000000" w:rsidP="00096093">
            <w:pPr>
              <w:pStyle w:val="BodyText"/>
              <w:rPr>
                <w:lang w:val="en-NZ"/>
              </w:rPr>
            </w:pPr>
          </w:p>
        </w:tc>
        <w:tc>
          <w:tcPr>
            <w:tcW w:w="6312" w:type="dxa"/>
            <w:tcBorders>
              <w:top w:val="nil"/>
              <w:left w:val="nil"/>
              <w:bottom w:val="nil"/>
              <w:right w:val="nil"/>
            </w:tcBorders>
            <w:tcMar>
              <w:top w:w="0" w:type="dxa"/>
              <w:left w:w="62" w:type="dxa"/>
              <w:bottom w:w="0" w:type="dxa"/>
              <w:right w:w="62" w:type="dxa"/>
            </w:tcMar>
          </w:tcPr>
          <w:p w:rsidR="00000000" w:rsidRPr="00096093" w:rsidP="00096093">
            <w:pPr>
              <w:pStyle w:val="ListBullet"/>
            </w:pPr>
            <w:r w:rsidRPr="00096093">
              <w:t xml:space="preserve">workplace procedures relating to the use of tools and equipment </w:t>
            </w:r>
          </w:p>
          <w:p w:rsidR="00000000" w:rsidRPr="00096093" w:rsidP="00096093">
            <w:pPr>
              <w:pStyle w:val="ListBullet"/>
            </w:pPr>
            <w:r w:rsidRPr="00096093">
              <w:t xml:space="preserve">work instructions, including job sheets, cutting lists, plans, drawings and designs </w:t>
            </w:r>
          </w:p>
          <w:p w:rsidR="00000000" w:rsidRPr="00096093" w:rsidP="00096093">
            <w:pPr>
              <w:pStyle w:val="ListBullet"/>
            </w:pPr>
            <w:r w:rsidRPr="00096093">
              <w:t xml:space="preserve">workplace procedures relating to reporting and communication </w:t>
            </w:r>
          </w:p>
          <w:p w:rsidR="00000000" w:rsidRPr="00096093" w:rsidP="00096093">
            <w:pPr>
              <w:pStyle w:val="ListBullet"/>
            </w:pPr>
            <w:r w:rsidRPr="00096093">
              <w:t xml:space="preserve">manufacturer specifications and operational </w:t>
            </w:r>
            <w:r w:rsidRPr="00096093">
              <w:t xml:space="preserve">procedures </w:t>
            </w:r>
          </w:p>
        </w:tc>
      </w:tr>
    </w:tbl>
    <w:p w:rsidR="00000000" w:rsidRPr="00096093" w:rsidP="00096093">
      <w:pPr>
        <w:pStyle w:val="BodyText"/>
      </w:pPr>
    </w:p>
    <w:p w:rsidR="00000000" w:rsidRPr="00096093" w:rsidP="00096093">
      <w:pPr>
        <w:pStyle w:val="AllowPageBreak"/>
      </w:pPr>
    </w:p>
    <w:p w:rsidR="00000000" w:rsidRPr="00096093" w:rsidP="00096093">
      <w:pPr>
        <w:pStyle w:val="Heading1"/>
      </w:pPr>
      <w:bookmarkStart w:id="9" w:name="O_631382"/>
      <w:bookmarkEnd w:id="9"/>
      <w:r w:rsidRPr="00096093">
        <w:t>Unit Mapping Information</w:t>
      </w:r>
    </w:p>
    <w:p w:rsidR="00000000" w:rsidRPr="00096093" w:rsidP="00311BF3">
      <w:pPr>
        <w:pStyle w:val="BodyText"/>
      </w:pPr>
      <w:r w:rsidRPr="00096093">
        <w:t>Supersedes and is equivalent to LMFFF3007B Apply graining and decorative finishes</w:t>
      </w:r>
    </w:p>
    <w:p w:rsidR="00000000" w:rsidRPr="00096093" w:rsidP="00096093">
      <w:pPr>
        <w:pStyle w:val="Heading1"/>
      </w:pPr>
      <w:bookmarkStart w:id="10" w:name="O_631375"/>
      <w:bookmarkEnd w:id="10"/>
      <w:r w:rsidRPr="00096093">
        <w:t>Links</w:t>
      </w:r>
    </w:p>
    <w:p w:rsidR="00000000" w:rsidRPr="00096093" w:rsidP="00311BF3">
      <w:pPr>
        <w:pStyle w:val="BodyText"/>
      </w:pPr>
      <w:r w:rsidRPr="00096093">
        <w:t xml:space="preserve">Companion Volume implementation guides are found in VETNet - </w:t>
      </w:r>
      <w:r>
        <w:fldChar w:fldCharType="begin"/>
      </w:r>
      <w:r>
        <w:instrText xml:space="preserve"> HYPERLINK "https://vetnet.gov.au/Pages/TrainingDocs.aspx?q=0601ab95-583a-4e93-b2d4-cfb27b03ed73" </w:instrText>
      </w:r>
      <w:r>
        <w:fldChar w:fldCharType="separate"/>
      </w:r>
      <w:r w:rsidRPr="0085375A">
        <w:rPr>
          <w:rStyle w:val="Hyperlink"/>
        </w:rPr>
        <w:t>https://vetnet.gov.au/Pages/TrainingDocs.aspx?q=0601ab95-583a-4e93-b2d4-cfb27b03ed73</w:t>
      </w:r>
      <w:r>
        <w:fldChar w:fldCharType="end"/>
      </w:r>
    </w:p>
    <w:p w:rsidR="00000000" w:rsidRPr="00096093" w:rsidP="00311BF3">
      <w:pPr>
        <w:pStyle w:val="BodyText"/>
        <w:sectPr w:rsidSect="00096093">
          <w:headerReference w:type="default" r:id="rId10"/>
          <w:footerReference w:type="default" r:id="rId11"/>
          <w:pgSz w:w="11908" w:h="16833"/>
          <w:pgMar w:top="1702" w:right="1418" w:bottom="1702" w:left="1418" w:header="992" w:footer="992" w:gutter="0"/>
          <w:cols w:space="720"/>
          <w:noEndnote/>
          <w:docGrid w:linePitch="299"/>
        </w:sectPr>
      </w:pPr>
    </w:p>
    <w:p w:rsidR="00000000" w:rsidRPr="00096093" w:rsidP="00096093">
      <w:pPr>
        <w:pStyle w:val="SuperHeading"/>
      </w:pPr>
      <w:r w:rsidRPr="00096093">
        <w:t>Assessment Requirements for MSFFF3007 Apply graining and decora</w:t>
      </w:r>
      <w:r w:rsidRPr="00096093">
        <w:t>tive finishes</w:t>
      </w:r>
    </w:p>
    <w:p w:rsidR="00000000" w:rsidRPr="00096093" w:rsidP="00096093">
      <w:pPr>
        <w:pStyle w:val="Heading1"/>
      </w:pPr>
      <w:bookmarkStart w:id="11" w:name="O_631377"/>
      <w:bookmarkEnd w:id="11"/>
      <w:r w:rsidRPr="00096093">
        <w:t>Modification History</w:t>
      </w:r>
    </w:p>
    <w:p w:rsidR="00000000" w:rsidRPr="00096093" w:rsidP="00311BF3">
      <w:pPr>
        <w:pStyle w:val="BodyText"/>
      </w:pPr>
      <w:r w:rsidRPr="00096093">
        <w:t>Release 1 - New unit of competency</w:t>
      </w:r>
    </w:p>
    <w:p w:rsidR="00000000" w:rsidRPr="00096093" w:rsidP="00096093">
      <w:pPr>
        <w:pStyle w:val="Heading1"/>
      </w:pPr>
      <w:bookmarkStart w:id="12" w:name="O_631380"/>
      <w:bookmarkEnd w:id="12"/>
      <w:r w:rsidRPr="00096093">
        <w:t>Performance Evidence</w:t>
      </w:r>
    </w:p>
    <w:p w:rsidR="00000000" w:rsidRPr="00096093" w:rsidP="00096093">
      <w:pPr>
        <w:pStyle w:val="ListBullet"/>
      </w:pPr>
      <w:r w:rsidRPr="00096093">
        <w:t xml:space="preserve">Interpret work order and locate and apply relevant information </w:t>
      </w:r>
    </w:p>
    <w:p w:rsidR="00000000" w:rsidRPr="00096093" w:rsidP="00096093">
      <w:pPr>
        <w:pStyle w:val="ListBullet"/>
      </w:pPr>
      <w:r w:rsidRPr="00096093">
        <w:t>Apply safe handling requirements for equipment, products and materi</w:t>
      </w:r>
      <w:r w:rsidRPr="00096093">
        <w:t xml:space="preserve">als, including use of personal protective equipment </w:t>
      </w:r>
    </w:p>
    <w:p w:rsidR="00000000" w:rsidRPr="00096093" w:rsidP="00096093">
      <w:pPr>
        <w:pStyle w:val="ListBullet"/>
      </w:pPr>
      <w:r w:rsidRPr="00096093">
        <w:t xml:space="preserve">Identify materials used in the work process </w:t>
      </w:r>
    </w:p>
    <w:p w:rsidR="00000000" w:rsidRPr="00096093" w:rsidP="00096093">
      <w:pPr>
        <w:pStyle w:val="ListBullet"/>
      </w:pPr>
      <w:r w:rsidRPr="00096093">
        <w:t xml:space="preserve">Follow work instructions, operating procedures and inspection processes to: </w:t>
      </w:r>
    </w:p>
    <w:p w:rsidR="00000000" w:rsidRPr="00096093" w:rsidP="00096093">
      <w:pPr>
        <w:pStyle w:val="ListBullet2"/>
      </w:pPr>
      <w:r w:rsidRPr="00096093">
        <w:t xml:space="preserve">minimise the risk of injury to self or others </w:t>
      </w:r>
    </w:p>
    <w:p w:rsidR="00000000" w:rsidRPr="00096093" w:rsidP="00096093">
      <w:pPr>
        <w:pStyle w:val="ListBullet2"/>
      </w:pPr>
      <w:r w:rsidRPr="00096093">
        <w:t xml:space="preserve">prevent damage to goods, equipment and products </w:t>
      </w:r>
    </w:p>
    <w:p w:rsidR="00000000" w:rsidRPr="00096093" w:rsidP="00096093">
      <w:pPr>
        <w:pStyle w:val="ListBullet2"/>
      </w:pPr>
      <w:r w:rsidRPr="00096093">
        <w:t xml:space="preserve">maintain required production output and product quality </w:t>
      </w:r>
    </w:p>
    <w:p w:rsidR="00000000" w:rsidRPr="00096093" w:rsidP="00096093">
      <w:pPr>
        <w:pStyle w:val="ListBullet"/>
      </w:pPr>
      <w:r w:rsidRPr="00096093">
        <w:t xml:space="preserve">Apply graining solution to imitate a minimum of two (2) different timber species </w:t>
      </w:r>
    </w:p>
    <w:p w:rsidR="00000000" w:rsidRPr="00096093" w:rsidP="00096093">
      <w:pPr>
        <w:pStyle w:val="ListBullet"/>
      </w:pPr>
      <w:r w:rsidRPr="00096093">
        <w:t xml:space="preserve">Apply material to imitate a marble finish and one (1) other finish </w:t>
      </w:r>
      <w:r w:rsidRPr="00096093">
        <w:t xml:space="preserve">type </w:t>
      </w:r>
    </w:p>
    <w:p w:rsidR="00000000" w:rsidRPr="00096093" w:rsidP="00096093">
      <w:pPr>
        <w:pStyle w:val="ListBullet"/>
      </w:pPr>
      <w:r w:rsidRPr="00096093">
        <w:t>Maintain application equipment</w:t>
      </w:r>
    </w:p>
    <w:p w:rsidR="00000000" w:rsidRPr="00096093" w:rsidP="00096093">
      <w:pPr>
        <w:pStyle w:val="ListBullet"/>
      </w:pPr>
      <w:r w:rsidRPr="00096093">
        <w:t xml:space="preserve">Use mathematical ideas and techniques to correctly complete measurements, calculate area and estimate material requirements </w:t>
      </w:r>
    </w:p>
    <w:p w:rsidR="00000000" w:rsidRPr="00096093" w:rsidP="00096093">
      <w:pPr>
        <w:pStyle w:val="ListBullet"/>
      </w:pPr>
      <w:r w:rsidRPr="00096093">
        <w:t>Communicate ideas and information to enable confirmation of work requirements and specificatio</w:t>
      </w:r>
      <w:r w:rsidRPr="00096093">
        <w:t xml:space="preserve">ns and the reporting of work outcomes and problems, interpret basic plans and follow safety procedures </w:t>
      </w:r>
    </w:p>
    <w:p w:rsidR="00000000" w:rsidRPr="00096093" w:rsidP="00096093">
      <w:pPr>
        <w:pStyle w:val="ListBullet"/>
      </w:pPr>
      <w:r w:rsidRPr="00096093">
        <w:t>Minimise wastage of resources, including materials, time and money</w:t>
      </w:r>
    </w:p>
    <w:p w:rsidR="00311BF3" w:rsidP="00096093">
      <w:pPr>
        <w:pStyle w:val="ListBullet"/>
      </w:pPr>
      <w:r w:rsidRPr="00096093">
        <w:t>Work with others and in a team by recognising dependencies and using cooperative appr</w:t>
      </w:r>
      <w:r w:rsidRPr="00096093">
        <w:t>oaches to optimise work flow and productivity</w:t>
      </w:r>
    </w:p>
    <w:p w:rsidR="00311BF3" w:rsidP="00096093">
      <w:pPr>
        <w:pStyle w:val="ListBullet"/>
      </w:pPr>
    </w:p>
    <w:p w:rsidR="00000000" w:rsidRPr="00096093" w:rsidP="00096093">
      <w:pPr>
        <w:pStyle w:val="Heading1"/>
      </w:pPr>
      <w:bookmarkStart w:id="13" w:name="O_631379"/>
      <w:bookmarkEnd w:id="13"/>
      <w:r w:rsidRPr="00096093">
        <w:t>Knowledge Evidence</w:t>
      </w:r>
    </w:p>
    <w:p w:rsidR="00000000" w:rsidRPr="00096093" w:rsidP="00096093">
      <w:pPr>
        <w:pStyle w:val="ListBullet"/>
      </w:pPr>
      <w:r w:rsidRPr="00096093">
        <w:t xml:space="preserve">Application of stains, fillers and bleaches </w:t>
      </w:r>
    </w:p>
    <w:p w:rsidR="00000000" w:rsidRPr="00096093" w:rsidP="00096093">
      <w:pPr>
        <w:pStyle w:val="ListBullet"/>
      </w:pPr>
      <w:r w:rsidRPr="00096093">
        <w:t xml:space="preserve">Decontamination materials, techniques and safety requirements </w:t>
      </w:r>
    </w:p>
    <w:p w:rsidR="00000000" w:rsidRPr="00096093" w:rsidP="00096093">
      <w:pPr>
        <w:pStyle w:val="ListBullet"/>
      </w:pPr>
      <w:r w:rsidRPr="00096093">
        <w:t xml:space="preserve">Identification of application techniques </w:t>
      </w:r>
    </w:p>
    <w:p w:rsidR="00000000" w:rsidRPr="00096093" w:rsidP="00096093">
      <w:pPr>
        <w:pStyle w:val="ListBullet"/>
      </w:pPr>
      <w:r w:rsidRPr="00096093">
        <w:t xml:space="preserve">Characteristics of graining and coating materials in terms of toxicity, reactivity, flammability and viscosity </w:t>
      </w:r>
    </w:p>
    <w:p w:rsidR="00000000" w:rsidRPr="00096093" w:rsidP="00096093">
      <w:pPr>
        <w:pStyle w:val="ListBullet"/>
      </w:pPr>
      <w:r w:rsidRPr="00096093">
        <w:t xml:space="preserve">Characteristics of coatings and base materials in terms of toxicity, reactivity, flammability, required viscosity and recoatability </w:t>
      </w:r>
    </w:p>
    <w:p w:rsidR="00000000" w:rsidRPr="00096093" w:rsidP="00096093">
      <w:pPr>
        <w:pStyle w:val="ListBullet"/>
      </w:pPr>
      <w:r w:rsidRPr="00096093">
        <w:t xml:space="preserve">Methods to </w:t>
      </w:r>
      <w:r w:rsidRPr="00096093">
        <w:t xml:space="preserve">prevent contamination of surfaces during and after surface coating </w:t>
      </w:r>
    </w:p>
    <w:p w:rsidR="00000000" w:rsidRPr="00096093" w:rsidP="00096093">
      <w:pPr>
        <w:pStyle w:val="ListBullet"/>
      </w:pPr>
      <w:r w:rsidRPr="00096093">
        <w:t>Work flow in relation to the application of surface coatings</w:t>
      </w:r>
    </w:p>
    <w:p w:rsidR="00000000" w:rsidRPr="00096093" w:rsidP="00096093">
      <w:pPr>
        <w:pStyle w:val="AllowPageBreak"/>
      </w:pPr>
    </w:p>
    <w:p w:rsidR="00000000" w:rsidRPr="00096093" w:rsidP="00096093">
      <w:pPr>
        <w:pStyle w:val="Heading1"/>
      </w:pPr>
      <w:bookmarkStart w:id="14" w:name="O_631378"/>
      <w:bookmarkEnd w:id="14"/>
      <w:r w:rsidRPr="00096093">
        <w:t>Assessment Conditions</w:t>
      </w:r>
    </w:p>
    <w:p w:rsidR="00000000" w:rsidRPr="00096093" w:rsidP="00096093">
      <w:pPr>
        <w:pStyle w:val="ListBullet"/>
      </w:pPr>
      <w:r w:rsidRPr="00096093">
        <w:t>Assessors must:</w:t>
      </w:r>
    </w:p>
    <w:p w:rsidR="00000000" w:rsidRPr="00096093" w:rsidP="00096093">
      <w:pPr>
        <w:pStyle w:val="ListBullet2"/>
      </w:pPr>
      <w:r w:rsidRPr="00096093">
        <w:t>hold training and assessment competencies as determined by the Nationa</w:t>
      </w:r>
      <w:r w:rsidRPr="00096093">
        <w:t>l Skills Standards Council (NSSC) or its successors</w:t>
      </w:r>
    </w:p>
    <w:p w:rsidR="00000000" w:rsidRPr="00096093" w:rsidP="00096093">
      <w:pPr>
        <w:pStyle w:val="ListBullet2"/>
      </w:pPr>
      <w:r w:rsidRPr="00096093">
        <w:t xml:space="preserve">have vocational competency in the furnishing industry at least to the level being assessed with broad industry knowledge and experience, usually combined with a relevant industry qualification </w:t>
      </w:r>
    </w:p>
    <w:p w:rsidR="00000000" w:rsidRPr="00096093" w:rsidP="00096093">
      <w:pPr>
        <w:pStyle w:val="ListBullet2"/>
      </w:pPr>
      <w:r w:rsidRPr="00096093">
        <w:t>be familia</w:t>
      </w:r>
      <w:r w:rsidRPr="00096093">
        <w:t>r with the current skills and knowledge used and have relevant, current experience in the furnishing industry.</w:t>
      </w:r>
    </w:p>
    <w:p w:rsidR="00000000" w:rsidRPr="00096093" w:rsidP="00096093">
      <w:pPr>
        <w:pStyle w:val="ListBullet"/>
      </w:pPr>
      <w:r w:rsidRPr="00096093">
        <w:t xml:space="preserve">Assessment methods must confirm consistency of performance over time rather than a single assessment </w:t>
      </w:r>
      <w:r w:rsidRPr="00096093">
        <w:t xml:space="preserve">event and in a range of workplace relevant contexts. </w:t>
      </w:r>
    </w:p>
    <w:p w:rsidR="00000000" w:rsidRPr="00096093" w:rsidP="00096093">
      <w:pPr>
        <w:pStyle w:val="ListBullet"/>
      </w:pPr>
      <w:r w:rsidRPr="00096093">
        <w:t xml:space="preserve">Assessment must be by observation of relevant tasks with questioning on underpinning knowledge and, where applicable, multimedia evidence, supervisor’s reports, projects and work samples. </w:t>
      </w:r>
    </w:p>
    <w:p w:rsidR="00000000" w:rsidRPr="00096093" w:rsidP="00096093">
      <w:pPr>
        <w:pStyle w:val="ListBullet"/>
      </w:pPr>
      <w:r w:rsidRPr="00096093">
        <w:t>Assessment is</w:t>
      </w:r>
      <w:r w:rsidRPr="00096093">
        <w:t xml:space="preserve"> to be conducted on single units of competency or in conjunction with other related units of competency. Foundation skills are integral to competent performance in the unit and should not be assessed separately.</w:t>
      </w:r>
    </w:p>
    <w:p w:rsidR="00000000" w:rsidRPr="00096093" w:rsidP="00096093">
      <w:pPr>
        <w:pStyle w:val="ListBullet"/>
      </w:pPr>
      <w:r w:rsidRPr="00096093">
        <w:t>Assessment must occur on the job or in a wor</w:t>
      </w:r>
      <w:r w:rsidRPr="00096093">
        <w:t>kplace simulated facility with relevant process, equipment, materials, work instructions and deadlines.</w:t>
      </w:r>
    </w:p>
    <w:p w:rsidR="00000000" w:rsidRPr="00096093" w:rsidP="00096093">
      <w:pPr>
        <w:pStyle w:val="ListBullet"/>
      </w:pPr>
      <w:r w:rsidRPr="00096093">
        <w:t>Access is required to surface coating application equipment, coatings, other consumables and materials to be repaired.</w:t>
      </w:r>
    </w:p>
    <w:p w:rsidR="00000000" w:rsidRPr="00096093" w:rsidP="00096093">
      <w:pPr>
        <w:pStyle w:val="AllowPageBreak"/>
      </w:pPr>
    </w:p>
    <w:p w:rsidR="00000000" w:rsidRPr="00096093" w:rsidP="00096093">
      <w:pPr>
        <w:pStyle w:val="Heading1"/>
      </w:pPr>
      <w:bookmarkStart w:id="15" w:name="O_631376"/>
      <w:bookmarkEnd w:id="15"/>
      <w:r w:rsidRPr="00096093">
        <w:t>Links</w:t>
      </w:r>
    </w:p>
    <w:p w:rsidR="00000000" w:rsidRPr="00096093" w:rsidP="00311BF3">
      <w:pPr>
        <w:pStyle w:val="BodyText"/>
      </w:pPr>
      <w:r w:rsidRPr="00096093">
        <w:t xml:space="preserve">Companion </w:t>
      </w:r>
      <w:r w:rsidRPr="00096093">
        <w:t xml:space="preserve">Volume implementation guides are found in VETNet - </w:t>
      </w:r>
      <w:r>
        <w:fldChar w:fldCharType="begin"/>
      </w:r>
      <w:r>
        <w:instrText xml:space="preserve"> HYPERLINK "https://vetnet.gov.au/Pages/TrainingDocs.aspx?q=0601ab95-583a-4e93-b2d4-cfb27b03ed73" </w:instrText>
      </w:r>
      <w:r>
        <w:fldChar w:fldCharType="separate"/>
      </w:r>
      <w:r w:rsidRPr="0085375A">
        <w:rPr>
          <w:rStyle w:val="Hyperlink"/>
        </w:rPr>
        <w:t>https://vetnet.gov.au/Pages/TrainingDocs.aspx?q=0601ab95-583a-4e93-b2d4-cfb27b03ed73</w:t>
      </w:r>
      <w:r>
        <w:fldChar w:fldCharType="end"/>
      </w:r>
    </w:p>
    <w:p w:rsidR="00000000" w:rsidRPr="00096093" w:rsidP="00096093"/>
    <w:sectPr w:rsidSect="00096093">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609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6093" w:rsidRPr="00311BF3" w:rsidP="00311BF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609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1BF3" w:rsidP="0009609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311BF3" w:rsidP="00096093">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311BF3" w:rsidP="00096093">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6093" w:rsidP="00096093">
    <w:pPr>
      <w:pStyle w:val="Footer"/>
      <w:framePr w:wrap="around"/>
    </w:pPr>
    <w:r>
      <w:fldChar w:fldCharType="begin"/>
    </w:r>
    <w:r>
      <w:instrText xml:space="preserve"> DOCPROPERTY  Subject  \* MERGEFORMAT </w:instrText>
    </w:r>
    <w:r>
      <w:fldChar w:fldCharType="separate"/>
    </w:r>
    <w:r w:rsidR="00311BF3">
      <w:t>Approved</w:t>
    </w:r>
    <w:r w:rsidR="00311BF3">
      <w:fldChar w:fldCharType="end"/>
    </w:r>
    <w:r>
      <w:tab/>
      <w:t xml:space="preserve">Page </w:t>
    </w:r>
    <w:r>
      <w:fldChar w:fldCharType="begin"/>
    </w:r>
    <w:r>
      <w:instrText xml:space="preserve"> PAGE  \* Arabic  \* MERGEFORMAT </w:instrText>
    </w:r>
    <w:r>
      <w:fldChar w:fldCharType="separate"/>
    </w:r>
    <w:r w:rsidR="00311BF3">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311BF3">
      <w:rPr>
        <w:noProof/>
      </w:rPr>
      <w:t>5</w:t>
    </w:r>
    <w:r>
      <w:rPr>
        <w:noProof/>
      </w:rPr>
      <w:fldChar w:fldCharType="end"/>
    </w:r>
  </w:p>
  <w:p w:rsidR="00096093" w:rsidP="00096093">
    <w:pPr>
      <w:pStyle w:val="Footer"/>
      <w:framePr w:wrap="around"/>
    </w:pPr>
    <w:r>
      <w:t xml:space="preserve">© Commonwealth of Australia, </w:t>
    </w:r>
    <w:r>
      <w:fldChar w:fldCharType="begin"/>
    </w:r>
    <w:r>
      <w:instrText xml:space="preserve"> DATE  \@ "yyyy"  \* MERGEFORMAT </w:instrText>
    </w:r>
    <w:r>
      <w:fldChar w:fldCharType="separate"/>
    </w:r>
    <w:r w:rsidR="00311BF3">
      <w:rPr>
        <w:noProof/>
      </w:rPr>
      <w:t>2025</w:t>
    </w:r>
    <w:r>
      <w:fldChar w:fldCharType="end"/>
    </w:r>
    <w:r>
      <w:tab/>
    </w:r>
    <w:r>
      <w:fldChar w:fldCharType="begin"/>
    </w:r>
    <w:r>
      <w:instrText xml:space="preserve"> DOCPROPERTY  Author  \* MERGEFORMAT </w:instrText>
    </w:r>
    <w:r>
      <w:fldChar w:fldCharType="separate"/>
    </w:r>
    <w:r w:rsidR="00311BF3">
      <w:t>Skills Insight</w:t>
    </w:r>
    <w:r w:rsidR="00311BF3">
      <w:fldChar w:fldCharType="end"/>
    </w:r>
  </w:p>
  <w:p w:rsidR="00096093" w:rsidP="0009609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609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1BF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96093" w:rsidRPr="00311BF3" w:rsidP="00311BF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609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1BF3" w:rsidRPr="002D2AF8" w:rsidP="00096093">
    <w:pPr>
      <w:pStyle w:val="Header"/>
      <w:framePr w:wrap="around"/>
    </w:pPr>
    <w:r>
      <w:fldChar w:fldCharType="begin"/>
    </w:r>
    <w:r>
      <w:instrText xml:space="preserve"> TITLE   \* MERGEFORMAT </w:instrText>
    </w:r>
    <w:r>
      <w:fldChar w:fldCharType="separate"/>
    </w:r>
    <w:r>
      <w:t>MSFFF3007 Apply graining and decorative finishes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311BF3" w:rsidP="00096093">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6093" w:rsidRPr="002D2AF8" w:rsidP="00096093">
    <w:pPr>
      <w:pStyle w:val="Header"/>
      <w:framePr w:wrap="around"/>
    </w:pPr>
    <w:r>
      <w:fldChar w:fldCharType="begin"/>
    </w:r>
    <w:r>
      <w:instrText xml:space="preserve"> TITLE   \* MERGEFORMAT </w:instrText>
    </w:r>
    <w:r>
      <w:fldChar w:fldCharType="separate"/>
    </w:r>
    <w:r w:rsidR="00311BF3">
      <w:t>MSFFF3007 Apply graining and decorative finishes</w:t>
    </w:r>
    <w:r w:rsidR="00311BF3">
      <w:fldChar w:fldCharType="end"/>
    </w:r>
    <w:r>
      <w:tab/>
      <w:t xml:space="preserve">Date this document was generated: </w:t>
    </w:r>
    <w:r>
      <w:fldChar w:fldCharType="begin"/>
    </w:r>
    <w:r>
      <w:instrText xml:space="preserve"> CREATEDATE  \@ "d MMMM yyyy"  \* MERGEFORMAT </w:instrText>
    </w:r>
    <w:r>
      <w:fldChar w:fldCharType="separate"/>
    </w:r>
    <w:r w:rsidR="00311BF3">
      <w:rPr>
        <w:noProof/>
      </w:rPr>
      <w:t>2 March 2025</w:t>
    </w:r>
    <w:r>
      <w:fldChar w:fldCharType="end"/>
    </w:r>
  </w:p>
  <w:p w:rsidR="00096093" w:rsidP="0009609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55AE5F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DAAA12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E6C8FC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9609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96093"/>
    <w:pPr>
      <w:spacing w:before="360" w:after="60"/>
      <w:outlineLvl w:val="0"/>
    </w:pPr>
    <w:rPr>
      <w:sz w:val="32"/>
    </w:rPr>
  </w:style>
  <w:style w:type="paragraph" w:styleId="Heading2">
    <w:name w:val="heading 2"/>
    <w:basedOn w:val="HeadingBase"/>
    <w:next w:val="BodyText"/>
    <w:link w:val="Heading2Char"/>
    <w:qFormat/>
    <w:rsid w:val="00096093"/>
    <w:pPr>
      <w:keepLines/>
      <w:spacing w:before="240" w:after="120"/>
      <w:outlineLvl w:val="1"/>
    </w:pPr>
    <w:rPr>
      <w:sz w:val="28"/>
      <w:szCs w:val="40"/>
    </w:rPr>
  </w:style>
  <w:style w:type="paragraph" w:styleId="Heading3">
    <w:name w:val="heading 3"/>
    <w:basedOn w:val="HeadingBase"/>
    <w:next w:val="BodyText"/>
    <w:link w:val="Heading3Char"/>
    <w:qFormat/>
    <w:rsid w:val="00096093"/>
    <w:pPr>
      <w:spacing w:before="180" w:after="120"/>
      <w:outlineLvl w:val="2"/>
    </w:pPr>
    <w:rPr>
      <w:spacing w:val="-10"/>
      <w:kern w:val="32"/>
    </w:rPr>
  </w:style>
  <w:style w:type="paragraph" w:styleId="Heading4">
    <w:name w:val="heading 4"/>
    <w:basedOn w:val="HeadingBase"/>
    <w:next w:val="BodyText"/>
    <w:link w:val="Heading4Char"/>
    <w:qFormat/>
    <w:rsid w:val="00096093"/>
    <w:pPr>
      <w:spacing w:before="160" w:after="120"/>
      <w:outlineLvl w:val="3"/>
    </w:pPr>
    <w:rPr>
      <w:sz w:val="22"/>
    </w:rPr>
  </w:style>
  <w:style w:type="paragraph" w:styleId="Heading5">
    <w:name w:val="heading 5"/>
    <w:basedOn w:val="HeadingBase"/>
    <w:next w:val="Normal"/>
    <w:link w:val="Heading5Char"/>
    <w:qFormat/>
    <w:rsid w:val="00096093"/>
    <w:pPr>
      <w:spacing w:before="80"/>
      <w:outlineLvl w:val="4"/>
    </w:pPr>
    <w:rPr>
      <w:color w:val="918585"/>
      <w:sz w:val="20"/>
    </w:rPr>
  </w:style>
  <w:style w:type="paragraph" w:styleId="Heading6">
    <w:name w:val="heading 6"/>
    <w:basedOn w:val="HeadingBase"/>
    <w:next w:val="Normal"/>
    <w:link w:val="Heading6Char"/>
    <w:qFormat/>
    <w:rsid w:val="00096093"/>
    <w:pPr>
      <w:spacing w:before="60"/>
      <w:outlineLvl w:val="5"/>
    </w:pPr>
    <w:rPr>
      <w:color w:val="918585"/>
      <w:sz w:val="20"/>
    </w:rPr>
  </w:style>
  <w:style w:type="paragraph" w:styleId="Heading7">
    <w:name w:val="heading 7"/>
    <w:basedOn w:val="Normal"/>
    <w:next w:val="Normal"/>
    <w:link w:val="Heading7Char"/>
    <w:qFormat/>
    <w:rsid w:val="00096093"/>
    <w:pPr>
      <w:ind w:left="720"/>
      <w:outlineLvl w:val="6"/>
    </w:pPr>
    <w:rPr>
      <w:i/>
    </w:rPr>
  </w:style>
  <w:style w:type="paragraph" w:styleId="Heading8">
    <w:name w:val="heading 8"/>
    <w:basedOn w:val="Normal"/>
    <w:next w:val="Normal"/>
    <w:link w:val="Heading8Char"/>
    <w:qFormat/>
    <w:rsid w:val="00096093"/>
    <w:pPr>
      <w:ind w:left="720"/>
      <w:outlineLvl w:val="7"/>
    </w:pPr>
    <w:rPr>
      <w:i/>
    </w:rPr>
  </w:style>
  <w:style w:type="paragraph" w:styleId="Heading9">
    <w:name w:val="heading 9"/>
    <w:basedOn w:val="Normal"/>
    <w:next w:val="Normal"/>
    <w:link w:val="Heading9Char"/>
    <w:qFormat/>
    <w:rsid w:val="00096093"/>
    <w:pPr>
      <w:ind w:left="720"/>
      <w:outlineLvl w:val="8"/>
    </w:pPr>
    <w:rPr>
      <w:i/>
    </w:rPr>
  </w:style>
  <w:style w:type="character" w:default="1" w:styleId="DefaultParagraphFont">
    <w:name w:val="Default Paragraph Font"/>
    <w:uiPriority w:val="1"/>
    <w:unhideWhenUsed/>
    <w:rsid w:val="0009609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96093"/>
  </w:style>
  <w:style w:type="character" w:customStyle="1" w:styleId="Heading1Char">
    <w:name w:val="Heading 1 Char"/>
    <w:basedOn w:val="DefaultParagraphFont"/>
    <w:link w:val="Heading1"/>
    <w:rsid w:val="00096093"/>
    <w:rPr>
      <w:rFonts w:ascii="Times New Roman" w:eastAsia="Times New Roman" w:hAnsi="Times New Roman" w:cs="Times New Roman"/>
      <w:b/>
      <w:sz w:val="32"/>
      <w:szCs w:val="20"/>
      <w:lang w:eastAsia="en-US"/>
    </w:rPr>
  </w:style>
  <w:style w:type="paragraph" w:styleId="BodyText">
    <w:name w:val="Body Text"/>
    <w:basedOn w:val="Normal"/>
    <w:link w:val="BodyTextChar"/>
    <w:rsid w:val="0009609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96093"/>
    <w:rPr>
      <w:rFonts w:ascii="Times New Roman" w:eastAsia="Times New Roman" w:hAnsi="Times New Roman" w:cs="Times New Roman"/>
      <w:sz w:val="24"/>
      <w:lang w:eastAsia="en-US"/>
    </w:rPr>
  </w:style>
  <w:style w:type="paragraph" w:styleId="ListBullet">
    <w:name w:val="List Bullet"/>
    <w:basedOn w:val="List"/>
    <w:rsid w:val="00096093"/>
    <w:pPr>
      <w:numPr>
        <w:numId w:val="12"/>
      </w:numPr>
      <w:tabs>
        <w:tab w:val="clear" w:pos="340"/>
      </w:tabs>
      <w:spacing w:before="40" w:after="40"/>
    </w:pPr>
  </w:style>
  <w:style w:type="character" w:customStyle="1" w:styleId="SpecialBold">
    <w:name w:val="Special Bold"/>
    <w:basedOn w:val="DefaultParagraphFont"/>
    <w:rsid w:val="00096093"/>
    <w:rPr>
      <w:b/>
      <w:spacing w:val="0"/>
    </w:rPr>
  </w:style>
  <w:style w:type="paragraph" w:styleId="ListBullet2">
    <w:name w:val="List Bullet 2"/>
    <w:basedOn w:val="List2"/>
    <w:rsid w:val="00096093"/>
    <w:pPr>
      <w:numPr>
        <w:numId w:val="13"/>
      </w:numPr>
      <w:tabs>
        <w:tab w:val="clear" w:pos="680"/>
      </w:tabs>
    </w:pPr>
  </w:style>
  <w:style w:type="paragraph" w:customStyle="1" w:styleId="SuperHeading">
    <w:name w:val="SuperHeading"/>
    <w:basedOn w:val="Normal"/>
    <w:rsid w:val="00096093"/>
    <w:pPr>
      <w:spacing w:before="240" w:after="120"/>
      <w:outlineLvl w:val="0"/>
    </w:pPr>
    <w:rPr>
      <w:rFonts w:ascii="Times New Roman" w:hAnsi="Times New Roman"/>
      <w:b/>
      <w:sz w:val="32"/>
    </w:rPr>
  </w:style>
  <w:style w:type="paragraph" w:customStyle="1" w:styleId="AllowPageBreak">
    <w:name w:val="AllowPageBreak"/>
    <w:rsid w:val="0009609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09609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9609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9609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9609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9609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9609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9609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96093"/>
    <w:rPr>
      <w:rFonts w:ascii="Courier New" w:eastAsia="Times New Roman" w:hAnsi="Courier New" w:cs="Times New Roman"/>
      <w:i/>
      <w:szCs w:val="20"/>
      <w:lang w:eastAsia="en-US"/>
    </w:rPr>
  </w:style>
  <w:style w:type="paragraph" w:customStyle="1" w:styleId="HeadingBase">
    <w:name w:val="Heading Base"/>
    <w:rsid w:val="0009609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96093"/>
    <w:pPr>
      <w:tabs>
        <w:tab w:val="right" w:leader="dot" w:pos="9072"/>
      </w:tabs>
      <w:ind w:left="567"/>
    </w:pPr>
    <w:rPr>
      <w:szCs w:val="22"/>
    </w:rPr>
  </w:style>
  <w:style w:type="paragraph" w:customStyle="1" w:styleId="TOCBase">
    <w:name w:val="TOC Base"/>
    <w:rsid w:val="0009609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96093"/>
    <w:pPr>
      <w:tabs>
        <w:tab w:val="right" w:leader="dot" w:pos="9072"/>
      </w:tabs>
      <w:spacing w:before="40" w:after="40"/>
      <w:ind w:left="284"/>
    </w:pPr>
    <w:rPr>
      <w:rFonts w:ascii="Times New Roman" w:hAnsi="Times New Roman"/>
    </w:rPr>
  </w:style>
  <w:style w:type="paragraph" w:styleId="TOC1">
    <w:name w:val="toc 1"/>
    <w:basedOn w:val="TOCBase"/>
    <w:next w:val="Normal"/>
    <w:rsid w:val="0009609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9609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96093"/>
    <w:rPr>
      <w:rFonts w:ascii="Times New Roman" w:eastAsia="Times New Roman" w:hAnsi="Times New Roman" w:cs="Times New Roman"/>
      <w:sz w:val="16"/>
      <w:lang w:eastAsia="en-US"/>
    </w:rPr>
  </w:style>
  <w:style w:type="paragraph" w:styleId="Title">
    <w:name w:val="Title"/>
    <w:basedOn w:val="HeadingBase"/>
    <w:link w:val="TitleChar"/>
    <w:qFormat/>
    <w:rsid w:val="00096093"/>
    <w:pPr>
      <w:spacing w:before="5040"/>
      <w:jc w:val="center"/>
    </w:pPr>
    <w:rPr>
      <w:sz w:val="48"/>
      <w:szCs w:val="72"/>
      <w:lang w:val="en-US"/>
    </w:rPr>
  </w:style>
  <w:style w:type="character" w:customStyle="1" w:styleId="TitleChar">
    <w:name w:val="Title Char"/>
    <w:basedOn w:val="DefaultParagraphFont"/>
    <w:link w:val="Title"/>
    <w:rsid w:val="0009609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96093"/>
    <w:pPr>
      <w:tabs>
        <w:tab w:val="left" w:pos="3600"/>
        <w:tab w:val="left" w:pos="3958"/>
      </w:tabs>
    </w:pPr>
  </w:style>
  <w:style w:type="paragraph" w:styleId="List">
    <w:name w:val="List"/>
    <w:basedOn w:val="BodyText"/>
    <w:next w:val="BodyText"/>
    <w:rsid w:val="00096093"/>
    <w:pPr>
      <w:tabs>
        <w:tab w:val="left" w:pos="340"/>
      </w:tabs>
      <w:spacing w:before="60" w:after="60"/>
      <w:ind w:left="340" w:hanging="340"/>
    </w:pPr>
  </w:style>
  <w:style w:type="paragraph" w:customStyle="1" w:styleId="Note">
    <w:name w:val="Note"/>
    <w:basedOn w:val="BodyText"/>
    <w:rsid w:val="0009609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96093"/>
    <w:pPr>
      <w:framePr w:wrap="auto" w:hAnchor="text" w:y="6049"/>
    </w:pPr>
    <w:rPr>
      <w:color w:val="000000"/>
      <w:sz w:val="40"/>
    </w:rPr>
  </w:style>
  <w:style w:type="paragraph" w:customStyle="1" w:styleId="TOCTitle">
    <w:name w:val="TOCTitle"/>
    <w:basedOn w:val="Heading1"/>
    <w:rsid w:val="00096093"/>
    <w:pPr>
      <w:spacing w:after="240"/>
      <w:jc w:val="center"/>
      <w:outlineLvl w:val="9"/>
    </w:pPr>
    <w:rPr>
      <w:caps/>
    </w:rPr>
  </w:style>
  <w:style w:type="paragraph" w:customStyle="1" w:styleId="Version">
    <w:name w:val="Version"/>
    <w:rsid w:val="0009609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96093"/>
    <w:pPr>
      <w:keepNext w:val="0"/>
      <w:tabs>
        <w:tab w:val="right" w:pos="4176"/>
      </w:tabs>
      <w:ind w:left="198" w:hanging="198"/>
    </w:pPr>
    <w:rPr>
      <w:rFonts w:ascii="Garamond" w:hAnsi="Garamond"/>
    </w:rPr>
  </w:style>
  <w:style w:type="paragraph" w:styleId="IndexHeading">
    <w:name w:val="index heading"/>
    <w:basedOn w:val="Normal"/>
    <w:next w:val="Index1"/>
    <w:semiHidden/>
    <w:rsid w:val="00096093"/>
    <w:pPr>
      <w:spacing w:before="120" w:after="120"/>
    </w:pPr>
    <w:rPr>
      <w:rFonts w:ascii="Arial" w:hAnsi="Arial"/>
      <w:b/>
      <w:color w:val="918585"/>
      <w:sz w:val="24"/>
    </w:rPr>
  </w:style>
  <w:style w:type="paragraph" w:styleId="Header">
    <w:name w:val="header"/>
    <w:basedOn w:val="Normal"/>
    <w:link w:val="HeaderChar"/>
    <w:rsid w:val="0009609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96093"/>
    <w:rPr>
      <w:rFonts w:ascii="Times New Roman" w:eastAsia="Times New Roman" w:hAnsi="Times New Roman" w:cs="Times New Roman"/>
      <w:sz w:val="16"/>
      <w:szCs w:val="20"/>
      <w:lang w:val="en-GB" w:eastAsia="en-US"/>
    </w:rPr>
  </w:style>
  <w:style w:type="paragraph" w:customStyle="1" w:styleId="Chapter">
    <w:name w:val="Chapter"/>
    <w:basedOn w:val="Normal"/>
    <w:rsid w:val="00096093"/>
    <w:pPr>
      <w:spacing w:before="240"/>
    </w:pPr>
    <w:rPr>
      <w:rFonts w:ascii="Times New Roman" w:hAnsi="Times New Roman"/>
      <w:smallCaps/>
      <w:spacing w:val="80"/>
      <w:sz w:val="28"/>
    </w:rPr>
  </w:style>
  <w:style w:type="paragraph" w:customStyle="1" w:styleId="InChapter">
    <w:name w:val="InChapter"/>
    <w:basedOn w:val="Heading3"/>
    <w:rsid w:val="00096093"/>
    <w:pPr>
      <w:spacing w:after="240"/>
      <w:outlineLvl w:val="9"/>
    </w:pPr>
    <w:rPr>
      <w:noProof/>
    </w:rPr>
  </w:style>
  <w:style w:type="paragraph" w:styleId="Index2">
    <w:name w:val="index 2"/>
    <w:basedOn w:val="Normal"/>
    <w:next w:val="Normal"/>
    <w:semiHidden/>
    <w:rsid w:val="00096093"/>
    <w:pPr>
      <w:tabs>
        <w:tab w:val="right" w:pos="4176"/>
      </w:tabs>
      <w:ind w:left="568" w:hanging="284"/>
    </w:pPr>
    <w:rPr>
      <w:rFonts w:ascii="Garamond" w:hAnsi="Garamond"/>
    </w:rPr>
  </w:style>
  <w:style w:type="paragraph" w:customStyle="1" w:styleId="Byline">
    <w:name w:val="Byline"/>
    <w:rsid w:val="0009609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96093"/>
    <w:pPr>
      <w:tabs>
        <w:tab w:val="clear" w:pos="3600"/>
        <w:tab w:val="clear" w:pos="3958"/>
      </w:tabs>
      <w:jc w:val="right"/>
    </w:pPr>
  </w:style>
  <w:style w:type="character" w:styleId="Emphasis">
    <w:name w:val="Emphasis"/>
    <w:basedOn w:val="DefaultParagraphFont"/>
    <w:qFormat/>
    <w:rsid w:val="00096093"/>
    <w:rPr>
      <w:i/>
    </w:rPr>
  </w:style>
  <w:style w:type="paragraph" w:styleId="Caption">
    <w:name w:val="caption"/>
    <w:basedOn w:val="BodyText"/>
    <w:next w:val="Normal"/>
    <w:qFormat/>
    <w:rsid w:val="00096093"/>
    <w:pPr>
      <w:framePr w:w="2268" w:hSpace="181" w:vSpace="181" w:wrap="around" w:vAnchor="text" w:hAnchor="page" w:x="1135" w:y="285" w:anchorLock="1"/>
    </w:pPr>
    <w:rPr>
      <w:i/>
    </w:rPr>
  </w:style>
  <w:style w:type="paragraph" w:customStyle="1" w:styleId="MiniTOCTitle">
    <w:name w:val="MiniTOCTitle"/>
    <w:basedOn w:val="Heading4"/>
    <w:rsid w:val="00096093"/>
    <w:pPr>
      <w:spacing w:before="240"/>
      <w:outlineLvl w:val="9"/>
    </w:pPr>
    <w:rPr>
      <w:noProof/>
      <w:sz w:val="24"/>
    </w:rPr>
  </w:style>
  <w:style w:type="paragraph" w:customStyle="1" w:styleId="MiniTOCItem">
    <w:name w:val="MiniTOCItem"/>
    <w:basedOn w:val="ListBullet"/>
    <w:rsid w:val="00096093"/>
    <w:pPr>
      <w:numPr>
        <w:numId w:val="0"/>
      </w:numPr>
      <w:tabs>
        <w:tab w:val="right" w:leader="dot" w:pos="6521"/>
      </w:tabs>
      <w:spacing w:before="0" w:after="0"/>
    </w:pPr>
  </w:style>
  <w:style w:type="paragraph" w:customStyle="1" w:styleId="TOFTitle">
    <w:name w:val="TOFTitle"/>
    <w:basedOn w:val="TOCTitle"/>
    <w:rsid w:val="00096093"/>
  </w:style>
  <w:style w:type="paragraph" w:styleId="TableofFigures">
    <w:name w:val="table of figures"/>
    <w:basedOn w:val="Normal"/>
    <w:next w:val="Normal"/>
    <w:semiHidden/>
    <w:rsid w:val="00096093"/>
    <w:pPr>
      <w:tabs>
        <w:tab w:val="right" w:leader="dot" w:pos="9072"/>
      </w:tabs>
      <w:ind w:left="970" w:hanging="403"/>
    </w:pPr>
    <w:rPr>
      <w:rFonts w:ascii="Times New Roman" w:hAnsi="Times New Roman"/>
      <w:b/>
    </w:rPr>
  </w:style>
  <w:style w:type="paragraph" w:styleId="ListNumber">
    <w:name w:val="List Number"/>
    <w:basedOn w:val="List"/>
    <w:rsid w:val="00096093"/>
    <w:pPr>
      <w:numPr>
        <w:numId w:val="15"/>
      </w:numPr>
      <w:tabs>
        <w:tab w:val="clear" w:pos="340"/>
      </w:tabs>
    </w:pPr>
  </w:style>
  <w:style w:type="character" w:customStyle="1" w:styleId="WingdingSymbols">
    <w:name w:val="Wingding Symbols"/>
    <w:rsid w:val="00096093"/>
    <w:rPr>
      <w:rFonts w:ascii="Wingdings" w:hAnsi="Wingdings"/>
    </w:rPr>
  </w:style>
  <w:style w:type="paragraph" w:customStyle="1" w:styleId="TableHeading">
    <w:name w:val="Table Heading"/>
    <w:basedOn w:val="HeadingBase"/>
    <w:rsid w:val="00096093"/>
    <w:pPr>
      <w:keepLines/>
      <w:pBdr>
        <w:bottom w:val="single" w:sz="6" w:space="1" w:color="918585"/>
      </w:pBdr>
      <w:spacing w:before="240"/>
    </w:pPr>
  </w:style>
  <w:style w:type="character" w:customStyle="1" w:styleId="HotSpot">
    <w:name w:val="HotSpot"/>
    <w:rsid w:val="00096093"/>
    <w:rPr>
      <w:color w:val="0033CC"/>
      <w:u w:val="none"/>
    </w:rPr>
  </w:style>
  <w:style w:type="paragraph" w:customStyle="1" w:styleId="BodyTextRight">
    <w:name w:val="Body Text Right"/>
    <w:basedOn w:val="BodyText"/>
    <w:rsid w:val="00096093"/>
    <w:pPr>
      <w:spacing w:before="0" w:after="0"/>
      <w:jc w:val="right"/>
    </w:pPr>
  </w:style>
  <w:style w:type="paragraph" w:styleId="Index3">
    <w:name w:val="index 3"/>
    <w:basedOn w:val="ListNumber2"/>
    <w:next w:val="Normal"/>
    <w:semiHidden/>
    <w:rsid w:val="00096093"/>
    <w:pPr>
      <w:numPr>
        <w:numId w:val="0"/>
      </w:numPr>
      <w:tabs>
        <w:tab w:val="right" w:leader="dot" w:pos="4176"/>
      </w:tabs>
    </w:pPr>
  </w:style>
  <w:style w:type="paragraph" w:styleId="ListNumber2">
    <w:name w:val="List Number 2"/>
    <w:basedOn w:val="List2"/>
    <w:rsid w:val="00096093"/>
    <w:pPr>
      <w:numPr>
        <w:numId w:val="10"/>
      </w:numPr>
      <w:tabs>
        <w:tab w:val="clear" w:pos="1060"/>
      </w:tabs>
    </w:pPr>
  </w:style>
  <w:style w:type="paragraph" w:customStyle="1" w:styleId="MarginNote">
    <w:name w:val="Margin Note"/>
    <w:basedOn w:val="BodyText"/>
    <w:rsid w:val="0009609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9609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9609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96093"/>
    <w:rPr>
      <w:sz w:val="32"/>
    </w:rPr>
  </w:style>
  <w:style w:type="paragraph" w:customStyle="1" w:styleId="HeadingProcedure">
    <w:name w:val="Heading Procedure"/>
    <w:basedOn w:val="HeadingBase"/>
    <w:next w:val="Normal"/>
    <w:rsid w:val="00096093"/>
    <w:pPr>
      <w:tabs>
        <w:tab w:val="left" w:pos="0"/>
      </w:tabs>
      <w:spacing w:before="120" w:after="60"/>
    </w:pPr>
    <w:rPr>
      <w:i/>
      <w:color w:val="918585"/>
      <w:sz w:val="22"/>
    </w:rPr>
  </w:style>
  <w:style w:type="paragraph" w:customStyle="1" w:styleId="TableBodyText">
    <w:name w:val="Table Body Text"/>
    <w:basedOn w:val="BodyText"/>
    <w:rsid w:val="00096093"/>
    <w:pPr>
      <w:spacing w:before="60" w:after="60"/>
    </w:pPr>
  </w:style>
  <w:style w:type="paragraph" w:styleId="ListContinue">
    <w:name w:val="List Continue"/>
    <w:basedOn w:val="List"/>
    <w:rsid w:val="00096093"/>
    <w:pPr>
      <w:ind w:firstLine="0"/>
    </w:pPr>
  </w:style>
  <w:style w:type="paragraph" w:customStyle="1" w:styleId="ListNote">
    <w:name w:val="List Note"/>
    <w:basedOn w:val="List"/>
    <w:rsid w:val="00096093"/>
    <w:pPr>
      <w:pBdr>
        <w:top w:val="single" w:sz="6" w:space="2" w:color="918585"/>
        <w:bottom w:val="single" w:sz="6" w:space="2" w:color="918585"/>
      </w:pBdr>
      <w:tabs>
        <w:tab w:val="left" w:pos="1021"/>
      </w:tabs>
      <w:ind w:firstLine="0"/>
    </w:pPr>
  </w:style>
  <w:style w:type="paragraph" w:customStyle="1" w:styleId="Warning">
    <w:name w:val="Warning"/>
    <w:basedOn w:val="BodyText"/>
    <w:rsid w:val="00096093"/>
    <w:pPr>
      <w:shd w:val="clear" w:color="auto" w:fill="D9D9D9"/>
      <w:tabs>
        <w:tab w:val="left" w:pos="992"/>
      </w:tabs>
      <w:ind w:left="119" w:right="119"/>
    </w:pPr>
    <w:rPr>
      <w:sz w:val="20"/>
    </w:rPr>
  </w:style>
  <w:style w:type="paragraph" w:customStyle="1" w:styleId="MarginIcons">
    <w:name w:val="Margin Icons"/>
    <w:basedOn w:val="BodyText"/>
    <w:rsid w:val="0009609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96093"/>
    <w:rPr>
      <w:rFonts w:ascii="Courier New" w:hAnsi="Courier New"/>
    </w:rPr>
  </w:style>
  <w:style w:type="paragraph" w:customStyle="1" w:styleId="NoteBullet">
    <w:name w:val="Note Bullet"/>
    <w:basedOn w:val="Note"/>
    <w:rsid w:val="00096093"/>
    <w:pPr>
      <w:tabs>
        <w:tab w:val="clear" w:pos="680"/>
      </w:tabs>
      <w:spacing w:before="60" w:after="60"/>
    </w:pPr>
  </w:style>
  <w:style w:type="paragraph" w:customStyle="1" w:styleId="SubHeading2">
    <w:name w:val="SubHeading2"/>
    <w:basedOn w:val="HeadingBase"/>
    <w:rsid w:val="00096093"/>
    <w:pPr>
      <w:spacing w:before="240" w:after="60"/>
    </w:pPr>
    <w:rPr>
      <w:sz w:val="20"/>
    </w:rPr>
  </w:style>
  <w:style w:type="paragraph" w:customStyle="1" w:styleId="SubHeading1">
    <w:name w:val="SubHeading1"/>
    <w:basedOn w:val="HeadingBase"/>
    <w:rsid w:val="00096093"/>
    <w:pPr>
      <w:spacing w:before="240" w:after="60"/>
    </w:pPr>
    <w:rPr>
      <w:color w:val="918585"/>
      <w:sz w:val="22"/>
    </w:rPr>
  </w:style>
  <w:style w:type="paragraph" w:customStyle="1" w:styleId="SideHeading">
    <w:name w:val="Side Heading"/>
    <w:basedOn w:val="HeadingBase"/>
    <w:rsid w:val="0009609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96093"/>
    <w:pPr>
      <w:tabs>
        <w:tab w:val="num" w:pos="360"/>
      </w:tabs>
    </w:pPr>
  </w:style>
  <w:style w:type="paragraph" w:styleId="PlainText">
    <w:name w:val="Plain Text"/>
    <w:basedOn w:val="Normal"/>
    <w:link w:val="PlainTextChar"/>
    <w:rsid w:val="00096093"/>
    <w:rPr>
      <w:sz w:val="20"/>
    </w:rPr>
  </w:style>
  <w:style w:type="character" w:customStyle="1" w:styleId="PlainTextChar">
    <w:name w:val="Plain Text Char"/>
    <w:basedOn w:val="DefaultParagraphFont"/>
    <w:link w:val="PlainText"/>
    <w:rsid w:val="00096093"/>
    <w:rPr>
      <w:rFonts w:ascii="Courier New" w:eastAsia="Times New Roman" w:hAnsi="Courier New" w:cs="Times New Roman"/>
      <w:sz w:val="20"/>
      <w:szCs w:val="20"/>
      <w:lang w:eastAsia="en-US"/>
    </w:rPr>
  </w:style>
  <w:style w:type="character" w:customStyle="1" w:styleId="MenuOption">
    <w:name w:val="Menu Option"/>
    <w:basedOn w:val="DefaultParagraphFont"/>
    <w:rsid w:val="00096093"/>
    <w:rPr>
      <w:b/>
      <w:smallCaps/>
    </w:rPr>
  </w:style>
  <w:style w:type="paragraph" w:customStyle="1" w:styleId="TableListNumber">
    <w:name w:val="Table List Number"/>
    <w:basedOn w:val="ListNumber"/>
    <w:rsid w:val="00096093"/>
    <w:pPr>
      <w:numPr>
        <w:numId w:val="0"/>
      </w:numPr>
    </w:pPr>
  </w:style>
  <w:style w:type="paragraph" w:styleId="TOC4">
    <w:name w:val="toc 4"/>
    <w:basedOn w:val="TOCBase"/>
    <w:next w:val="Normal"/>
    <w:semiHidden/>
    <w:rsid w:val="00096093"/>
    <w:pPr>
      <w:tabs>
        <w:tab w:val="right" w:leader="dot" w:pos="9071"/>
      </w:tabs>
      <w:ind w:left="1701"/>
    </w:pPr>
  </w:style>
  <w:style w:type="paragraph" w:customStyle="1" w:styleId="ListAlpha">
    <w:name w:val="List Alpha"/>
    <w:basedOn w:val="List"/>
    <w:rsid w:val="00096093"/>
    <w:pPr>
      <w:numPr>
        <w:numId w:val="9"/>
      </w:numPr>
    </w:pPr>
  </w:style>
  <w:style w:type="paragraph" w:customStyle="1" w:styleId="ListAlpha2">
    <w:name w:val="List Alpha 2"/>
    <w:basedOn w:val="List2"/>
    <w:rsid w:val="00096093"/>
    <w:pPr>
      <w:numPr>
        <w:numId w:val="8"/>
      </w:numPr>
    </w:pPr>
  </w:style>
  <w:style w:type="paragraph" w:styleId="List2">
    <w:name w:val="List 2"/>
    <w:basedOn w:val="BodyText"/>
    <w:rsid w:val="00096093"/>
    <w:pPr>
      <w:tabs>
        <w:tab w:val="left" w:pos="680"/>
      </w:tabs>
      <w:spacing w:before="60" w:after="60"/>
      <w:ind w:left="680" w:hanging="340"/>
    </w:pPr>
  </w:style>
  <w:style w:type="paragraph" w:styleId="List3">
    <w:name w:val="List 3"/>
    <w:basedOn w:val="BodyText"/>
    <w:rsid w:val="00096093"/>
    <w:pPr>
      <w:tabs>
        <w:tab w:val="left" w:pos="1021"/>
      </w:tabs>
      <w:spacing w:before="60" w:after="60"/>
      <w:ind w:left="1020" w:hanging="340"/>
    </w:pPr>
  </w:style>
  <w:style w:type="paragraph" w:styleId="List4">
    <w:name w:val="List 4"/>
    <w:basedOn w:val="BodyText"/>
    <w:rsid w:val="00096093"/>
    <w:pPr>
      <w:tabs>
        <w:tab w:val="left" w:pos="1361"/>
      </w:tabs>
      <w:spacing w:before="60" w:after="60"/>
      <w:ind w:left="1361" w:hanging="340"/>
    </w:pPr>
  </w:style>
  <w:style w:type="paragraph" w:styleId="List5">
    <w:name w:val="List 5"/>
    <w:basedOn w:val="BodyText"/>
    <w:rsid w:val="00096093"/>
    <w:pPr>
      <w:tabs>
        <w:tab w:val="left" w:pos="1701"/>
      </w:tabs>
      <w:spacing w:before="60" w:after="60"/>
      <w:ind w:left="1701" w:hanging="340"/>
    </w:pPr>
  </w:style>
  <w:style w:type="paragraph" w:styleId="ListBullet3">
    <w:name w:val="List Bullet 3"/>
    <w:basedOn w:val="List3"/>
    <w:rsid w:val="00096093"/>
    <w:pPr>
      <w:numPr>
        <w:numId w:val="14"/>
      </w:numPr>
      <w:tabs>
        <w:tab w:val="clear" w:pos="1021"/>
      </w:tabs>
      <w:ind w:left="1037" w:hanging="357"/>
    </w:pPr>
  </w:style>
  <w:style w:type="paragraph" w:styleId="ListBullet4">
    <w:name w:val="List Bullet 4"/>
    <w:basedOn w:val="List4"/>
    <w:rsid w:val="00096093"/>
    <w:pPr>
      <w:numPr>
        <w:numId w:val="3"/>
      </w:numPr>
      <w:tabs>
        <w:tab w:val="clear" w:pos="1361"/>
      </w:tabs>
    </w:pPr>
  </w:style>
  <w:style w:type="paragraph" w:styleId="ListBullet5">
    <w:name w:val="List Bullet 5"/>
    <w:basedOn w:val="List5"/>
    <w:rsid w:val="00096093"/>
    <w:pPr>
      <w:numPr>
        <w:numId w:val="4"/>
      </w:numPr>
    </w:pPr>
  </w:style>
  <w:style w:type="paragraph" w:styleId="ListContinue2">
    <w:name w:val="List Continue 2"/>
    <w:basedOn w:val="List2"/>
    <w:rsid w:val="00096093"/>
    <w:pPr>
      <w:ind w:firstLine="0"/>
    </w:pPr>
  </w:style>
  <w:style w:type="paragraph" w:styleId="ListContinue3">
    <w:name w:val="List Continue 3"/>
    <w:basedOn w:val="List3"/>
    <w:rsid w:val="00096093"/>
    <w:pPr>
      <w:ind w:left="1021" w:firstLine="0"/>
    </w:pPr>
  </w:style>
  <w:style w:type="paragraph" w:styleId="ListContinue4">
    <w:name w:val="List Continue 4"/>
    <w:basedOn w:val="List4"/>
    <w:rsid w:val="00096093"/>
    <w:pPr>
      <w:ind w:firstLine="0"/>
    </w:pPr>
  </w:style>
  <w:style w:type="paragraph" w:styleId="ListContinue5">
    <w:name w:val="List Continue 5"/>
    <w:basedOn w:val="List5"/>
    <w:rsid w:val="00096093"/>
    <w:pPr>
      <w:ind w:firstLine="0"/>
    </w:pPr>
  </w:style>
  <w:style w:type="paragraph" w:styleId="ListNumber3">
    <w:name w:val="List Number 3"/>
    <w:basedOn w:val="List3"/>
    <w:rsid w:val="00096093"/>
    <w:pPr>
      <w:numPr>
        <w:numId w:val="5"/>
      </w:numPr>
    </w:pPr>
  </w:style>
  <w:style w:type="paragraph" w:styleId="ListNumber4">
    <w:name w:val="List Number 4"/>
    <w:basedOn w:val="List4"/>
    <w:rsid w:val="00096093"/>
    <w:pPr>
      <w:numPr>
        <w:numId w:val="6"/>
      </w:numPr>
    </w:pPr>
  </w:style>
  <w:style w:type="paragraph" w:styleId="ListNumber5">
    <w:name w:val="List Number 5"/>
    <w:basedOn w:val="List5"/>
    <w:rsid w:val="00096093"/>
    <w:pPr>
      <w:numPr>
        <w:numId w:val="7"/>
      </w:numPr>
    </w:pPr>
  </w:style>
  <w:style w:type="paragraph" w:styleId="BlockText">
    <w:name w:val="Block Text"/>
    <w:basedOn w:val="Normal"/>
    <w:rsid w:val="00096093"/>
    <w:pPr>
      <w:spacing w:after="120"/>
      <w:ind w:left="1440" w:right="1440"/>
    </w:pPr>
  </w:style>
  <w:style w:type="character" w:customStyle="1" w:styleId="Subscript">
    <w:name w:val="Subscript"/>
    <w:basedOn w:val="DefaultParagraphFont"/>
    <w:rsid w:val="00096093"/>
    <w:rPr>
      <w:sz w:val="16"/>
      <w:vertAlign w:val="subscript"/>
    </w:rPr>
  </w:style>
  <w:style w:type="character" w:customStyle="1" w:styleId="Superscript">
    <w:name w:val="Superscript"/>
    <w:basedOn w:val="DefaultParagraphFont"/>
    <w:rsid w:val="00096093"/>
    <w:rPr>
      <w:sz w:val="16"/>
      <w:vertAlign w:val="superscript"/>
    </w:rPr>
  </w:style>
  <w:style w:type="character" w:customStyle="1" w:styleId="Symbols">
    <w:name w:val="Symbols"/>
    <w:basedOn w:val="DefaultParagraphFont"/>
    <w:rsid w:val="00096093"/>
    <w:rPr>
      <w:rFonts w:ascii="Symbol" w:hAnsi="Symbol"/>
    </w:rPr>
  </w:style>
  <w:style w:type="character" w:customStyle="1" w:styleId="MenuOptions">
    <w:name w:val="Menu Options"/>
    <w:basedOn w:val="DefaultParagraphFont"/>
    <w:rsid w:val="00096093"/>
    <w:rPr>
      <w:rFonts w:ascii="Arial Narrow" w:hAnsi="Arial Narrow"/>
      <w:smallCaps/>
    </w:rPr>
  </w:style>
  <w:style w:type="character" w:customStyle="1" w:styleId="Buttons">
    <w:name w:val="Buttons"/>
    <w:basedOn w:val="DefaultParagraphFont"/>
    <w:rsid w:val="00096093"/>
    <w:rPr>
      <w:b/>
    </w:rPr>
  </w:style>
  <w:style w:type="character" w:customStyle="1" w:styleId="Underlined">
    <w:name w:val="Underlined"/>
    <w:basedOn w:val="DefaultParagraphFont"/>
    <w:rsid w:val="00096093"/>
    <w:rPr>
      <w:u w:val="single"/>
    </w:rPr>
  </w:style>
  <w:style w:type="paragraph" w:customStyle="1" w:styleId="TableBodyTextRight">
    <w:name w:val="Table Body Text Right"/>
    <w:basedOn w:val="TableBodyText"/>
    <w:rsid w:val="00096093"/>
    <w:pPr>
      <w:widowControl w:val="0"/>
      <w:autoSpaceDE w:val="0"/>
      <w:autoSpaceDN w:val="0"/>
      <w:adjustRightInd w:val="0"/>
      <w:jc w:val="right"/>
    </w:pPr>
    <w:rPr>
      <w:rFonts w:cs="Arial"/>
      <w:szCs w:val="18"/>
    </w:rPr>
  </w:style>
  <w:style w:type="paragraph" w:customStyle="1" w:styleId="CopyrightText">
    <w:name w:val="Copyright Text"/>
    <w:basedOn w:val="BodyText"/>
    <w:rsid w:val="00096093"/>
    <w:rPr>
      <w:sz w:val="18"/>
    </w:rPr>
  </w:style>
  <w:style w:type="paragraph" w:customStyle="1" w:styleId="BodySmallRight">
    <w:name w:val="Body Small Right"/>
    <w:basedOn w:val="BodyTextRight"/>
    <w:rsid w:val="00096093"/>
    <w:rPr>
      <w:sz w:val="18"/>
      <w:szCs w:val="18"/>
    </w:rPr>
  </w:style>
  <w:style w:type="paragraph" w:customStyle="1" w:styleId="MarginEdition">
    <w:name w:val="Margin Edition"/>
    <w:basedOn w:val="MarginNote"/>
    <w:rsid w:val="00096093"/>
    <w:pPr>
      <w:spacing w:before="0" w:after="0"/>
    </w:pPr>
    <w:rPr>
      <w:rFonts w:ascii="Times New Roman" w:hAnsi="Times New Roman"/>
      <w:color w:val="999999"/>
    </w:rPr>
  </w:style>
  <w:style w:type="paragraph" w:customStyle="1" w:styleId="Spacer">
    <w:name w:val="Spacer"/>
    <w:basedOn w:val="Normal"/>
    <w:rsid w:val="00096093"/>
    <w:rPr>
      <w:sz w:val="2"/>
      <w:szCs w:val="2"/>
    </w:rPr>
  </w:style>
  <w:style w:type="character" w:customStyle="1" w:styleId="Small">
    <w:name w:val="Small"/>
    <w:basedOn w:val="DefaultParagraphFont"/>
    <w:rsid w:val="00096093"/>
    <w:rPr>
      <w:sz w:val="16"/>
    </w:rPr>
  </w:style>
  <w:style w:type="paragraph" w:customStyle="1" w:styleId="WideTable">
    <w:name w:val="Wide Table"/>
    <w:basedOn w:val="Normal"/>
    <w:rsid w:val="00096093"/>
    <w:pPr>
      <w:ind w:left="-1418"/>
    </w:pPr>
    <w:rPr>
      <w:sz w:val="2"/>
      <w:szCs w:val="2"/>
    </w:rPr>
  </w:style>
  <w:style w:type="character" w:styleId="PageNumber">
    <w:name w:val="page number"/>
    <w:basedOn w:val="DefaultParagraphFont"/>
    <w:rsid w:val="00096093"/>
  </w:style>
  <w:style w:type="paragraph" w:styleId="Quote">
    <w:name w:val="Quote"/>
    <w:basedOn w:val="Heading1"/>
    <w:link w:val="QuoteChar"/>
    <w:qFormat/>
    <w:rsid w:val="00096093"/>
    <w:rPr>
      <w:b w:val="0"/>
      <w:sz w:val="72"/>
      <w:szCs w:val="72"/>
      <w:lang w:val="en-NZ"/>
    </w:rPr>
  </w:style>
  <w:style w:type="character" w:customStyle="1" w:styleId="QuoteChar">
    <w:name w:val="Quote Char"/>
    <w:basedOn w:val="DefaultParagraphFont"/>
    <w:link w:val="Quote"/>
    <w:rsid w:val="0009609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96093"/>
    <w:pPr>
      <w:pageBreakBefore/>
    </w:pPr>
  </w:style>
  <w:style w:type="paragraph" w:customStyle="1" w:styleId="Border">
    <w:name w:val="Border"/>
    <w:basedOn w:val="Normal"/>
    <w:qFormat/>
    <w:rsid w:val="0009609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96093"/>
    <w:rPr>
      <w:b/>
      <w:bCs/>
      <w:i/>
      <w:iCs/>
      <w:color w:val="auto"/>
    </w:rPr>
  </w:style>
  <w:style w:type="paragraph" w:styleId="IntenseQuote">
    <w:name w:val="Intense Quote"/>
    <w:basedOn w:val="Normal"/>
    <w:next w:val="Normal"/>
    <w:link w:val="IntenseQuoteChar"/>
    <w:uiPriority w:val="30"/>
    <w:qFormat/>
    <w:rsid w:val="0009609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9609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96093"/>
    <w:rPr>
      <w:smallCaps/>
      <w:color w:val="auto"/>
      <w:u w:val="single"/>
    </w:rPr>
  </w:style>
  <w:style w:type="character" w:styleId="IntenseReference">
    <w:name w:val="Intense Reference"/>
    <w:basedOn w:val="DefaultParagraphFont"/>
    <w:uiPriority w:val="32"/>
    <w:qFormat/>
    <w:rsid w:val="00096093"/>
    <w:rPr>
      <w:b/>
      <w:bCs/>
      <w:smallCaps/>
      <w:color w:val="auto"/>
      <w:spacing w:val="5"/>
      <w:u w:val="single"/>
    </w:rPr>
  </w:style>
  <w:style w:type="paragraph" w:customStyle="1" w:styleId="2ColumnHeading">
    <w:name w:val="2Column Heading"/>
    <w:basedOn w:val="BodyText"/>
    <w:qFormat/>
    <w:rsid w:val="00096093"/>
    <w:pPr>
      <w:spacing w:after="60"/>
      <w:ind w:left="-2268"/>
    </w:pPr>
    <w:rPr>
      <w:b/>
    </w:rPr>
  </w:style>
  <w:style w:type="paragraph" w:customStyle="1" w:styleId="Heading1TOC">
    <w:name w:val="Heading1 TOC"/>
    <w:basedOn w:val="Normal"/>
    <w:qFormat/>
    <w:rsid w:val="00096093"/>
    <w:pPr>
      <w:spacing w:before="240" w:after="120"/>
    </w:pPr>
    <w:rPr>
      <w:rFonts w:ascii="Times New Roman" w:hAnsi="Times New Roman"/>
      <w:b/>
      <w:sz w:val="32"/>
    </w:rPr>
  </w:style>
  <w:style w:type="paragraph" w:customStyle="1" w:styleId="Heading2TOC">
    <w:name w:val="Heading2 TOC"/>
    <w:basedOn w:val="Normal"/>
    <w:qFormat/>
    <w:rsid w:val="00096093"/>
    <w:pPr>
      <w:spacing w:before="240" w:after="60"/>
    </w:pPr>
    <w:rPr>
      <w:rFonts w:ascii="Times New Roman" w:hAnsi="Times New Roman"/>
      <w:b/>
      <w:sz w:val="28"/>
    </w:rPr>
  </w:style>
  <w:style w:type="character" w:customStyle="1" w:styleId="Underline">
    <w:name w:val="Underline"/>
    <w:basedOn w:val="DefaultParagraphFont"/>
    <w:qFormat/>
    <w:rsid w:val="00096093"/>
    <w:rPr>
      <w:u w:val="single"/>
    </w:rPr>
  </w:style>
  <w:style w:type="character" w:customStyle="1" w:styleId="BoldandItalics">
    <w:name w:val="Bold and Italics"/>
    <w:qFormat/>
    <w:rsid w:val="00096093"/>
    <w:rPr>
      <w:b/>
      <w:i/>
      <w:u w:val="none"/>
    </w:rPr>
  </w:style>
  <w:style w:type="paragraph" w:styleId="BalloonText">
    <w:name w:val="Balloon Text"/>
    <w:basedOn w:val="Normal"/>
    <w:link w:val="BalloonTextChar"/>
    <w:rsid w:val="00096093"/>
    <w:rPr>
      <w:rFonts w:ascii="Tahoma" w:hAnsi="Tahoma" w:cs="Tahoma"/>
      <w:sz w:val="16"/>
      <w:szCs w:val="16"/>
    </w:rPr>
  </w:style>
  <w:style w:type="character" w:customStyle="1" w:styleId="BalloonTextChar">
    <w:name w:val="Balloon Text Char"/>
    <w:basedOn w:val="DefaultParagraphFont"/>
    <w:link w:val="BalloonText"/>
    <w:rsid w:val="0009609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9609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9609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96093"/>
    <w:rPr>
      <w:b/>
      <w:color w:val="660033"/>
      <w:spacing w:val="0"/>
    </w:rPr>
  </w:style>
  <w:style w:type="paragraph" w:customStyle="1" w:styleId="Nameditemlist">
    <w:name w:val="Named item list"/>
    <w:basedOn w:val="BodyText"/>
    <w:qFormat/>
    <w:rsid w:val="00096093"/>
    <w:pPr>
      <w:tabs>
        <w:tab w:val="left" w:pos="2835"/>
      </w:tabs>
      <w:ind w:left="2835" w:hanging="2835"/>
    </w:pPr>
  </w:style>
  <w:style w:type="paragraph" w:customStyle="1" w:styleId="BodyTextnopadding">
    <w:name w:val="Body Text no padding"/>
    <w:basedOn w:val="BodyText"/>
    <w:qFormat/>
    <w:rsid w:val="00096093"/>
    <w:pPr>
      <w:spacing w:before="0" w:after="0"/>
    </w:pPr>
  </w:style>
  <w:style w:type="paragraph" w:customStyle="1" w:styleId="BodyTextBold">
    <w:name w:val="Body Text Bold"/>
    <w:basedOn w:val="BodyText"/>
    <w:qFormat/>
    <w:rsid w:val="00096093"/>
    <w:rPr>
      <w:b/>
    </w:rPr>
  </w:style>
  <w:style w:type="character" w:styleId="Hyperlink">
    <w:name w:val="Hyperlink"/>
    <w:basedOn w:val="DefaultParagraphFont"/>
    <w:uiPriority w:val="99"/>
    <w:unhideWhenUsed/>
    <w:rsid w:val="00311BF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1182</Words>
  <Characters>7709</Characters>
  <Application>Microsoft Office Word</Application>
  <DocSecurity>0</DocSecurity>
  <Lines>296</Lines>
  <Paragraphs>177</Paragraphs>
  <ScaleCrop>false</ScaleCrop>
  <Company>Author-it Software Corporation Ltd.</Company>
  <LinksUpToDate>false</LinksUpToDate>
  <CharactersWithSpaces>8714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MSFFF3007 Apply graining and decorative finishes</dc:title>
  <dc:subject>Approved</dc:subject>
  <dc:creator>Skills Insight</dc:creator>
  <cp:keywords>Release: 1</cp:keywords>
  <dc:description>Review Date: 12 April 2008</dc:description>
  <cp:lastModifiedBy>HSD_TPCMSd.prod</cp:lastModifiedBy>
  <cp:revision>3</cp:revision>
  <dcterms:created xsi:type="dcterms:W3CDTF">2025-03-01T22:09:00Z</dcterms:created>
  <dcterms:modified xsi:type="dcterms:W3CDTF">2025-03-01T22:09:00Z</dcterms:modified>
</cp:coreProperties>
</file>