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6992" w:rsidP="00176992">
      <w:pPr>
        <w:pStyle w:val="Title"/>
      </w:pPr>
      <w:r>
        <w:fldChar w:fldCharType="begin"/>
      </w:r>
      <w:r>
        <w:instrText xml:space="preserve"> TITLE   \* MERGEFORMAT </w:instrText>
      </w:r>
      <w:r>
        <w:fldChar w:fldCharType="separate"/>
      </w:r>
      <w:r>
        <w:t>MSFFF3003 Apply plural component coatings</w:t>
      </w:r>
      <w:r>
        <w:fldChar w:fldCharType="end"/>
      </w:r>
    </w:p>
    <w:p w:rsidR="00176992" w:rsidP="00176992">
      <w:pPr>
        <w:pStyle w:val="Version"/>
        <w:sectPr w:rsidSect="006C2F7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2F70" w:rsidP="006C2F70">
      <w:pPr>
        <w:pStyle w:val="SuperHeading"/>
      </w:pPr>
      <w:r w:rsidRPr="006C2F70">
        <w:t>MSFFF3003 Apply plural component coatings</w:t>
      </w:r>
    </w:p>
    <w:p w:rsidR="00000000" w:rsidRPr="006C2F70" w:rsidP="006C2F70">
      <w:pPr>
        <w:pStyle w:val="Heading1"/>
      </w:pPr>
      <w:bookmarkStart w:id="1" w:name="O_631305"/>
      <w:bookmarkEnd w:id="1"/>
      <w:r w:rsidRPr="006C2F70">
        <w:t>Modification History</w:t>
      </w:r>
    </w:p>
    <w:p w:rsidR="00000000" w:rsidRPr="006C2F70" w:rsidP="00176992">
      <w:pPr>
        <w:pStyle w:val="BodyText"/>
      </w:pPr>
      <w:r w:rsidRPr="006C2F70">
        <w:t>Release 1 - New unit of competency</w:t>
      </w:r>
    </w:p>
    <w:p w:rsidR="00000000" w:rsidRPr="006C2F70" w:rsidP="006C2F70">
      <w:pPr>
        <w:pStyle w:val="Heading1"/>
      </w:pPr>
      <w:bookmarkStart w:id="2" w:name="O_631313"/>
      <w:bookmarkEnd w:id="2"/>
      <w:r w:rsidRPr="006C2F70">
        <w:t>Application</w:t>
      </w:r>
    </w:p>
    <w:p w:rsidR="00000000" w:rsidRPr="006C2F70" w:rsidP="00176992">
      <w:pPr>
        <w:pStyle w:val="BodyText"/>
      </w:pPr>
      <w:r w:rsidRPr="006C2F70">
        <w:t>This unit of competency covers applying plural component coatings, including polyurethane, polyester coatings and acid catalysed, to surfaces.</w:t>
      </w:r>
    </w:p>
    <w:p w:rsidR="00000000" w:rsidRPr="006C2F70" w:rsidP="00176992">
      <w:pPr>
        <w:pStyle w:val="BodyText"/>
      </w:pPr>
      <w:r w:rsidRPr="006C2F70">
        <w:t>No licensing, legislative o</w:t>
      </w:r>
      <w:r w:rsidRPr="006C2F70">
        <w:t>r certification requirements apply to this unit at the time of publication.</w:t>
      </w:r>
    </w:p>
    <w:p w:rsidR="00000000" w:rsidRPr="006C2F70" w:rsidP="006C2F70">
      <w:pPr>
        <w:pStyle w:val="Heading1"/>
      </w:pPr>
      <w:bookmarkStart w:id="3" w:name="O_631312"/>
      <w:bookmarkEnd w:id="3"/>
      <w:r w:rsidRPr="006C2F70">
        <w:t>Pre-requisite Unit</w:t>
      </w:r>
    </w:p>
    <w:p w:rsidR="00000000" w:rsidRPr="006C2F70" w:rsidP="006C2F70">
      <w:pPr>
        <w:pStyle w:val="Heading1"/>
      </w:pPr>
      <w:bookmarkStart w:id="4" w:name="O_631311"/>
      <w:bookmarkEnd w:id="4"/>
      <w:r w:rsidRPr="006C2F70">
        <w:t>Competency Field</w:t>
      </w:r>
    </w:p>
    <w:p w:rsidR="00000000" w:rsidRPr="006C2F70" w:rsidP="006C2F70">
      <w:pPr>
        <w:pStyle w:val="Heading1"/>
      </w:pPr>
      <w:bookmarkStart w:id="5" w:name="O_631310"/>
      <w:bookmarkEnd w:id="5"/>
      <w:r w:rsidRPr="006C2F70">
        <w:t>Unit Sector</w:t>
      </w:r>
    </w:p>
    <w:p w:rsidR="00000000" w:rsidRPr="006C2F70" w:rsidP="00176992">
      <w:pPr>
        <w:pStyle w:val="BodyText"/>
      </w:pPr>
      <w:r w:rsidRPr="006C2F70">
        <w:t>Furniture finishing</w:t>
      </w:r>
    </w:p>
    <w:p w:rsidR="00000000" w:rsidRPr="006C2F70" w:rsidP="006C2F70">
      <w:pPr>
        <w:pStyle w:val="Heading1"/>
      </w:pPr>
      <w:bookmarkStart w:id="6" w:name="O_631309"/>
      <w:bookmarkEnd w:id="6"/>
      <w:r w:rsidRPr="006C2F70">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6C2F7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6C2F70">
            <w:pPr>
              <w:pStyle w:val="BodyText"/>
              <w:rPr>
                <w:lang w:val="en-NZ"/>
              </w:rPr>
            </w:pPr>
            <w:r w:rsidRPr="006C2F70">
              <w:t>Elements des</w:t>
            </w:r>
            <w:r w:rsidRPr="006C2F70">
              <w:t>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6C2F70">
            <w:pPr>
              <w:pStyle w:val="BodyText"/>
              <w:rPr>
                <w:lang w:val="en-NZ"/>
              </w:rPr>
            </w:pPr>
            <w:r w:rsidRPr="006C2F70">
              <w:t>Performance criteria describe the performance needed to demonstrate achievement of the element.</w:t>
            </w:r>
          </w:p>
        </w:tc>
      </w:tr>
      <w:tr w:rsidTr="006C2F70">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6C2F70">
            <w:pPr>
              <w:pStyle w:val="BodyText"/>
              <w:rPr>
                <w:lang w:val="en-NZ"/>
              </w:rPr>
            </w:pPr>
            <w:r w:rsidRPr="006C2F70">
              <w:t>1</w:t>
            </w:r>
          </w:p>
        </w:tc>
        <w:tc>
          <w:tcPr>
            <w:tcW w:w="1962" w:type="dxa"/>
            <w:vMerge w:val="restart"/>
            <w:tcBorders>
              <w:top w:val="nil"/>
              <w:left w:val="nil"/>
              <w:bottom w:val="nil"/>
              <w:right w:val="nil"/>
            </w:tcBorders>
            <w:tcMar>
              <w:top w:w="0" w:type="dxa"/>
              <w:left w:w="62" w:type="dxa"/>
              <w:bottom w:w="0" w:type="dxa"/>
              <w:right w:w="62" w:type="dxa"/>
            </w:tcMar>
          </w:tcPr>
          <w:p w:rsidR="00000000" w:rsidP="006C2F70">
            <w:pPr>
              <w:pStyle w:val="BodyText"/>
              <w:rPr>
                <w:lang w:val="en-NZ"/>
              </w:rPr>
            </w:pPr>
            <w:r w:rsidRPr="006C2F70">
              <w:t>Prepare for work</w:t>
            </w:r>
          </w:p>
        </w:tc>
        <w:tc>
          <w:tcPr>
            <w:tcW w:w="770" w:type="dxa"/>
            <w:tcBorders>
              <w:top w:val="nil"/>
              <w:left w:val="nil"/>
              <w:bottom w:val="nil"/>
              <w:right w:val="nil"/>
            </w:tcBorders>
            <w:tcMar>
              <w:top w:w="0" w:type="dxa"/>
              <w:left w:w="62" w:type="dxa"/>
              <w:bottom w:w="0" w:type="dxa"/>
              <w:right w:w="62" w:type="dxa"/>
            </w:tcMar>
          </w:tcPr>
          <w:p w:rsidR="00000000" w:rsidP="006C2F70">
            <w:pPr>
              <w:pStyle w:val="BodyText"/>
              <w:rPr>
                <w:lang w:val="en-NZ"/>
              </w:rPr>
            </w:pPr>
            <w:r w:rsidRPr="006C2F70">
              <w:t>1.1</w:t>
            </w:r>
          </w:p>
        </w:tc>
        <w:tc>
          <w:tcPr>
            <w:tcW w:w="5610" w:type="dxa"/>
            <w:tcBorders>
              <w:top w:val="nil"/>
              <w:left w:val="nil"/>
              <w:bottom w:val="nil"/>
              <w:right w:val="nil"/>
            </w:tcBorders>
            <w:tcMar>
              <w:top w:w="0" w:type="dxa"/>
              <w:left w:w="62" w:type="dxa"/>
              <w:bottom w:w="0" w:type="dxa"/>
              <w:right w:w="62" w:type="dxa"/>
            </w:tcMar>
          </w:tcPr>
          <w:p w:rsidR="00000000" w:rsidP="006C2F70">
            <w:pPr>
              <w:pStyle w:val="BodyText"/>
              <w:rPr>
                <w:lang w:val="en-NZ"/>
              </w:rPr>
            </w:pPr>
            <w:r w:rsidRPr="006C2F70">
              <w:t>Workplace information, including materials application and safety information, and material safety data sheets (MSDS), is used to inform work practices</w:t>
            </w:r>
          </w:p>
        </w:tc>
      </w:tr>
      <w:tr w:rsidTr="006C2F7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2F70">
            <w:pPr>
              <w:pStyle w:val="BodyText"/>
              <w:rPr>
                <w:lang w:val="en-NZ"/>
              </w:rPr>
            </w:pPr>
            <w:r w:rsidRPr="006C2F70">
              <w:t>1.2</w:t>
            </w:r>
          </w:p>
        </w:tc>
        <w:tc>
          <w:tcPr>
            <w:tcW w:w="5610" w:type="dxa"/>
            <w:tcBorders>
              <w:top w:val="nil"/>
              <w:left w:val="nil"/>
              <w:bottom w:val="nil"/>
              <w:right w:val="nil"/>
            </w:tcBorders>
            <w:tcMar>
              <w:top w:w="0" w:type="dxa"/>
              <w:left w:w="62" w:type="dxa"/>
              <w:bottom w:w="0" w:type="dxa"/>
              <w:right w:w="62" w:type="dxa"/>
            </w:tcMar>
          </w:tcPr>
          <w:p w:rsidR="00000000" w:rsidP="006C2F70">
            <w:pPr>
              <w:pStyle w:val="BodyText"/>
              <w:rPr>
                <w:lang w:val="en-NZ"/>
              </w:rPr>
            </w:pPr>
            <w:r w:rsidRPr="006C2F70">
              <w:t>Characteristics of the surface and the required surface treatment are identified from work orders</w:t>
            </w:r>
            <w:r w:rsidRPr="006C2F70">
              <w:t xml:space="preserve"> or instructions</w:t>
            </w:r>
          </w:p>
        </w:tc>
      </w:tr>
      <w:tr w:rsidTr="006C2F7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2F70">
            <w:pPr>
              <w:pStyle w:val="BodyText"/>
              <w:rPr>
                <w:lang w:val="en-NZ"/>
              </w:rPr>
            </w:pPr>
            <w:r w:rsidRPr="006C2F70">
              <w:t>1.3</w:t>
            </w:r>
          </w:p>
        </w:tc>
        <w:tc>
          <w:tcPr>
            <w:tcW w:w="5610" w:type="dxa"/>
            <w:tcBorders>
              <w:top w:val="nil"/>
              <w:left w:val="nil"/>
              <w:bottom w:val="nil"/>
              <w:right w:val="nil"/>
            </w:tcBorders>
            <w:tcMar>
              <w:top w:w="0" w:type="dxa"/>
              <w:left w:w="62" w:type="dxa"/>
              <w:bottom w:w="0" w:type="dxa"/>
              <w:right w:w="62" w:type="dxa"/>
            </w:tcMar>
          </w:tcPr>
          <w:p w:rsidR="00000000" w:rsidP="006C2F70">
            <w:pPr>
              <w:pStyle w:val="BodyText"/>
              <w:rPr>
                <w:lang w:val="en-NZ"/>
              </w:rPr>
            </w:pPr>
            <w:r w:rsidRPr="006C2F70">
              <w:t>Processing and application techniques, time and safety requirements are identified and used for work planning</w:t>
            </w:r>
          </w:p>
        </w:tc>
      </w:tr>
      <w:tr w:rsidTr="006C2F7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2F70">
            <w:pPr>
              <w:pStyle w:val="BodyText"/>
              <w:rPr>
                <w:lang w:val="en-NZ"/>
              </w:rPr>
            </w:pPr>
            <w:r w:rsidRPr="006C2F70">
              <w:t>1.4</w:t>
            </w:r>
          </w:p>
        </w:tc>
        <w:tc>
          <w:tcPr>
            <w:tcW w:w="5610" w:type="dxa"/>
            <w:tcBorders>
              <w:top w:val="nil"/>
              <w:left w:val="nil"/>
              <w:bottom w:val="nil"/>
              <w:right w:val="nil"/>
            </w:tcBorders>
            <w:tcMar>
              <w:top w:w="0" w:type="dxa"/>
              <w:left w:w="62" w:type="dxa"/>
              <w:bottom w:w="0" w:type="dxa"/>
              <w:right w:w="62" w:type="dxa"/>
            </w:tcMar>
          </w:tcPr>
          <w:p w:rsidR="00000000" w:rsidP="006C2F70">
            <w:pPr>
              <w:pStyle w:val="BodyText"/>
              <w:rPr>
                <w:lang w:val="en-NZ"/>
              </w:rPr>
            </w:pPr>
            <w:r w:rsidRPr="006C2F70">
              <w:t>Work health and safety (WHS) requiremen</w:t>
            </w:r>
            <w:r w:rsidRPr="006C2F70">
              <w:t>ts, including ventilation requirements and personal protection needs, are observed throughout the work</w:t>
            </w:r>
          </w:p>
        </w:tc>
      </w:tr>
      <w:tr w:rsidTr="006C2F7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2F70">
            <w:pPr>
              <w:pStyle w:val="BodyText"/>
              <w:rPr>
                <w:lang w:val="en-NZ"/>
              </w:rPr>
            </w:pPr>
            <w:r w:rsidRPr="006C2F70">
              <w:t>1.5</w:t>
            </w:r>
          </w:p>
        </w:tc>
        <w:tc>
          <w:tcPr>
            <w:tcW w:w="5610" w:type="dxa"/>
            <w:tcBorders>
              <w:top w:val="nil"/>
              <w:left w:val="nil"/>
              <w:bottom w:val="nil"/>
              <w:right w:val="nil"/>
            </w:tcBorders>
            <w:tcMar>
              <w:top w:w="0" w:type="dxa"/>
              <w:left w:w="62" w:type="dxa"/>
              <w:bottom w:w="0" w:type="dxa"/>
              <w:right w:w="62" w:type="dxa"/>
            </w:tcMar>
          </w:tcPr>
          <w:p w:rsidR="00000000" w:rsidP="006C2F70">
            <w:pPr>
              <w:pStyle w:val="BodyText"/>
              <w:rPr>
                <w:lang w:val="en-NZ"/>
              </w:rPr>
            </w:pPr>
            <w:r w:rsidRPr="006C2F70">
              <w:t xml:space="preserve">Tools, equipment and accessories are identified and checked for safe and effective application of plural </w:t>
            </w:r>
            <w:r w:rsidRPr="006C2F70">
              <w:t>component coatings</w:t>
            </w:r>
          </w:p>
        </w:tc>
      </w:tr>
      <w:tr w:rsidTr="006C2F70">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6C2F70">
            <w:pPr>
              <w:pStyle w:val="BodyText"/>
              <w:rPr>
                <w:lang w:val="en-NZ"/>
              </w:rPr>
            </w:pPr>
            <w:r w:rsidRPr="006C2F70">
              <w:t>2</w:t>
            </w:r>
          </w:p>
        </w:tc>
        <w:tc>
          <w:tcPr>
            <w:tcW w:w="1962" w:type="dxa"/>
            <w:vMerge w:val="restart"/>
            <w:tcBorders>
              <w:top w:val="nil"/>
              <w:left w:val="nil"/>
              <w:bottom w:val="nil"/>
              <w:right w:val="nil"/>
            </w:tcBorders>
            <w:tcMar>
              <w:top w:w="0" w:type="dxa"/>
              <w:left w:w="62" w:type="dxa"/>
              <w:bottom w:w="0" w:type="dxa"/>
              <w:right w:w="62" w:type="dxa"/>
            </w:tcMar>
          </w:tcPr>
          <w:p w:rsidR="00000000" w:rsidP="006C2F70">
            <w:pPr>
              <w:pStyle w:val="BodyText"/>
              <w:rPr>
                <w:lang w:val="en-NZ"/>
              </w:rPr>
            </w:pPr>
            <w:r w:rsidRPr="006C2F70">
              <w:t>Prepare for applica</w:t>
            </w:r>
            <w:r w:rsidRPr="006C2F70">
              <w:t>tion of materials</w:t>
            </w:r>
          </w:p>
        </w:tc>
        <w:tc>
          <w:tcPr>
            <w:tcW w:w="770" w:type="dxa"/>
            <w:tcBorders>
              <w:top w:val="nil"/>
              <w:left w:val="nil"/>
              <w:bottom w:val="nil"/>
              <w:right w:val="nil"/>
            </w:tcBorders>
            <w:tcMar>
              <w:top w:w="0" w:type="dxa"/>
              <w:left w:w="62" w:type="dxa"/>
              <w:bottom w:w="0" w:type="dxa"/>
              <w:right w:w="62" w:type="dxa"/>
            </w:tcMar>
          </w:tcPr>
          <w:p w:rsidR="00000000" w:rsidP="006C2F70">
            <w:pPr>
              <w:pStyle w:val="BodyText"/>
              <w:rPr>
                <w:lang w:val="en-NZ"/>
              </w:rPr>
            </w:pPr>
            <w:r w:rsidRPr="006C2F70">
              <w:t>2.1</w:t>
            </w:r>
          </w:p>
        </w:tc>
        <w:tc>
          <w:tcPr>
            <w:tcW w:w="5610" w:type="dxa"/>
            <w:tcBorders>
              <w:top w:val="nil"/>
              <w:left w:val="nil"/>
              <w:bottom w:val="nil"/>
              <w:right w:val="nil"/>
            </w:tcBorders>
            <w:tcMar>
              <w:top w:w="0" w:type="dxa"/>
              <w:left w:w="62" w:type="dxa"/>
              <w:bottom w:w="0" w:type="dxa"/>
              <w:right w:w="62" w:type="dxa"/>
            </w:tcMar>
          </w:tcPr>
          <w:p w:rsidR="00000000" w:rsidP="006C2F70">
            <w:pPr>
              <w:pStyle w:val="BodyText"/>
              <w:rPr>
                <w:lang w:val="en-NZ"/>
              </w:rPr>
            </w:pPr>
            <w:r w:rsidRPr="006C2F70">
              <w:t>Surfaces are checked for contamination and correct preparation according to workplace procedures and standards</w:t>
            </w:r>
          </w:p>
        </w:tc>
      </w:tr>
      <w:tr w:rsidTr="006C2F7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2F70">
            <w:pPr>
              <w:pStyle w:val="BodyText"/>
              <w:rPr>
                <w:lang w:val="en-NZ"/>
              </w:rPr>
            </w:pPr>
            <w:r w:rsidRPr="006C2F70">
              <w:t>2.2</w:t>
            </w:r>
          </w:p>
        </w:tc>
        <w:tc>
          <w:tcPr>
            <w:tcW w:w="5610" w:type="dxa"/>
            <w:tcBorders>
              <w:top w:val="nil"/>
              <w:left w:val="nil"/>
              <w:bottom w:val="nil"/>
              <w:right w:val="nil"/>
            </w:tcBorders>
            <w:tcMar>
              <w:top w:w="0" w:type="dxa"/>
              <w:left w:w="62" w:type="dxa"/>
              <w:bottom w:w="0" w:type="dxa"/>
              <w:right w:w="62" w:type="dxa"/>
            </w:tcMar>
          </w:tcPr>
          <w:p w:rsidR="00000000" w:rsidP="006C2F70">
            <w:pPr>
              <w:pStyle w:val="BodyText"/>
              <w:rPr>
                <w:lang w:val="en-NZ"/>
              </w:rPr>
            </w:pPr>
            <w:r w:rsidRPr="006C2F70">
              <w:t>Products with surface or other faults are identified and faults repaired as appropriate</w:t>
            </w:r>
          </w:p>
        </w:tc>
      </w:tr>
      <w:tr w:rsidTr="006C2F7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2F70">
            <w:pPr>
              <w:pStyle w:val="BodyText"/>
              <w:rPr>
                <w:lang w:val="en-NZ"/>
              </w:rPr>
            </w:pPr>
            <w:r w:rsidRPr="006C2F70">
              <w:t>2.3</w:t>
            </w:r>
          </w:p>
        </w:tc>
        <w:tc>
          <w:tcPr>
            <w:tcW w:w="5610" w:type="dxa"/>
            <w:tcBorders>
              <w:top w:val="nil"/>
              <w:left w:val="nil"/>
              <w:bottom w:val="nil"/>
              <w:right w:val="nil"/>
            </w:tcBorders>
            <w:tcMar>
              <w:top w:w="0" w:type="dxa"/>
              <w:left w:w="62" w:type="dxa"/>
              <w:bottom w:w="0" w:type="dxa"/>
              <w:right w:w="62" w:type="dxa"/>
            </w:tcMar>
          </w:tcPr>
          <w:p w:rsidR="00000000" w:rsidP="006C2F70">
            <w:pPr>
              <w:pStyle w:val="BodyText"/>
              <w:rPr>
                <w:lang w:val="en-NZ"/>
              </w:rPr>
            </w:pPr>
            <w:r w:rsidRPr="006C2F70">
              <w:t>Materials required are identified and prepared for the task</w:t>
            </w:r>
          </w:p>
        </w:tc>
      </w:tr>
      <w:tr w:rsidTr="006C2F7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2F70">
            <w:pPr>
              <w:pStyle w:val="BodyText"/>
              <w:rPr>
                <w:lang w:val="en-NZ"/>
              </w:rPr>
            </w:pPr>
            <w:r w:rsidRPr="006C2F70">
              <w:t>2.4</w:t>
            </w:r>
          </w:p>
        </w:tc>
        <w:tc>
          <w:tcPr>
            <w:tcW w:w="5610" w:type="dxa"/>
            <w:tcBorders>
              <w:top w:val="nil"/>
              <w:left w:val="nil"/>
              <w:bottom w:val="nil"/>
              <w:right w:val="nil"/>
            </w:tcBorders>
            <w:tcMar>
              <w:top w:w="0" w:type="dxa"/>
              <w:left w:w="62" w:type="dxa"/>
              <w:bottom w:w="0" w:type="dxa"/>
              <w:right w:w="62" w:type="dxa"/>
            </w:tcMar>
          </w:tcPr>
          <w:p w:rsidR="00000000" w:rsidP="006C2F70">
            <w:pPr>
              <w:pStyle w:val="BodyText"/>
              <w:rPr>
                <w:lang w:val="en-NZ"/>
              </w:rPr>
            </w:pPr>
            <w:r w:rsidRPr="006C2F70">
              <w:t>Spray booths and work documentation are inspected to ensure nitro-cellulose lacquer has not been sprayed in the same booth as that used for the application of plural component coatings</w:t>
            </w:r>
          </w:p>
        </w:tc>
      </w:tr>
      <w:tr w:rsidTr="006C2F7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2F70">
            <w:pPr>
              <w:pStyle w:val="BodyText"/>
              <w:rPr>
                <w:lang w:val="en-NZ"/>
              </w:rPr>
            </w:pPr>
            <w:r w:rsidRPr="006C2F70">
              <w:t>2.5</w:t>
            </w:r>
          </w:p>
        </w:tc>
        <w:tc>
          <w:tcPr>
            <w:tcW w:w="5610" w:type="dxa"/>
            <w:tcBorders>
              <w:top w:val="nil"/>
              <w:left w:val="nil"/>
              <w:bottom w:val="nil"/>
              <w:right w:val="nil"/>
            </w:tcBorders>
            <w:tcMar>
              <w:top w:w="0" w:type="dxa"/>
              <w:left w:w="62" w:type="dxa"/>
              <w:bottom w:w="0" w:type="dxa"/>
              <w:right w:w="62" w:type="dxa"/>
            </w:tcMar>
          </w:tcPr>
          <w:p w:rsidR="00000000" w:rsidP="006C2F70">
            <w:pPr>
              <w:pStyle w:val="BodyText"/>
              <w:rPr>
                <w:lang w:val="en-NZ"/>
              </w:rPr>
            </w:pPr>
            <w:r w:rsidRPr="006C2F70">
              <w:t>Nitro-cellulose overspray is cleaned off booth surfaces if necessary before application of plural component coatings</w:t>
            </w:r>
          </w:p>
        </w:tc>
      </w:tr>
      <w:tr w:rsidTr="006C2F7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2F70">
            <w:pPr>
              <w:pStyle w:val="BodyText"/>
              <w:rPr>
                <w:lang w:val="en-NZ"/>
              </w:rPr>
            </w:pPr>
            <w:r w:rsidRPr="006C2F70">
              <w:t>2.6</w:t>
            </w:r>
          </w:p>
        </w:tc>
        <w:tc>
          <w:tcPr>
            <w:tcW w:w="5610" w:type="dxa"/>
            <w:tcBorders>
              <w:top w:val="nil"/>
              <w:left w:val="nil"/>
              <w:bottom w:val="nil"/>
              <w:right w:val="nil"/>
            </w:tcBorders>
            <w:tcMar>
              <w:top w:w="0" w:type="dxa"/>
              <w:left w:w="62" w:type="dxa"/>
              <w:bottom w:w="0" w:type="dxa"/>
              <w:right w:w="62" w:type="dxa"/>
            </w:tcMar>
          </w:tcPr>
          <w:p w:rsidR="00000000" w:rsidP="006C2F70">
            <w:pPr>
              <w:pStyle w:val="BodyText"/>
              <w:rPr>
                <w:lang w:val="en-NZ"/>
              </w:rPr>
            </w:pPr>
            <w:r w:rsidRPr="006C2F70">
              <w:t>Trial applications of plural component coatings are made to check equipment operation, materials consistency and viscosity</w:t>
            </w:r>
          </w:p>
        </w:tc>
      </w:tr>
      <w:tr w:rsidTr="006C2F7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2F70">
            <w:pPr>
              <w:pStyle w:val="BodyText"/>
              <w:rPr>
                <w:lang w:val="en-NZ"/>
              </w:rPr>
            </w:pPr>
            <w:r w:rsidRPr="006C2F70">
              <w:t>2.</w:t>
            </w:r>
            <w:r w:rsidRPr="006C2F70">
              <w:t>7</w:t>
            </w:r>
          </w:p>
        </w:tc>
        <w:tc>
          <w:tcPr>
            <w:tcW w:w="5610" w:type="dxa"/>
            <w:tcBorders>
              <w:top w:val="nil"/>
              <w:left w:val="nil"/>
              <w:bottom w:val="nil"/>
              <w:right w:val="nil"/>
            </w:tcBorders>
            <w:tcMar>
              <w:top w:w="0" w:type="dxa"/>
              <w:left w:w="62" w:type="dxa"/>
              <w:bottom w:w="0" w:type="dxa"/>
              <w:right w:w="62" w:type="dxa"/>
            </w:tcMar>
          </w:tcPr>
          <w:p w:rsidR="00000000" w:rsidP="006C2F70">
            <w:pPr>
              <w:pStyle w:val="BodyText"/>
              <w:rPr>
                <w:lang w:val="en-NZ"/>
              </w:rPr>
            </w:pPr>
            <w:r w:rsidRPr="006C2F70">
              <w:t>Faults and/or inconsistencies in applied coating are identified and workplace procedures for rectification and adjustment are followed</w:t>
            </w:r>
          </w:p>
        </w:tc>
      </w:tr>
      <w:tr w:rsidTr="006C2F70">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6C2F70">
            <w:pPr>
              <w:pStyle w:val="BodyText"/>
              <w:rPr>
                <w:lang w:val="en-NZ"/>
              </w:rPr>
            </w:pPr>
            <w:r w:rsidRPr="006C2F70">
              <w:t>3</w:t>
            </w:r>
          </w:p>
        </w:tc>
        <w:tc>
          <w:tcPr>
            <w:tcW w:w="1962" w:type="dxa"/>
            <w:vMerge w:val="restart"/>
            <w:tcBorders>
              <w:top w:val="nil"/>
              <w:left w:val="nil"/>
              <w:bottom w:val="nil"/>
              <w:right w:val="nil"/>
            </w:tcBorders>
            <w:tcMar>
              <w:top w:w="0" w:type="dxa"/>
              <w:left w:w="62" w:type="dxa"/>
              <w:bottom w:w="0" w:type="dxa"/>
              <w:right w:w="62" w:type="dxa"/>
            </w:tcMar>
          </w:tcPr>
          <w:p w:rsidR="00000000" w:rsidP="006C2F70">
            <w:pPr>
              <w:pStyle w:val="BodyText"/>
              <w:rPr>
                <w:lang w:val="en-NZ"/>
              </w:rPr>
            </w:pPr>
            <w:r w:rsidRPr="006C2F70">
              <w:t>Apply finishing materials</w:t>
            </w:r>
          </w:p>
        </w:tc>
        <w:tc>
          <w:tcPr>
            <w:tcW w:w="770" w:type="dxa"/>
            <w:tcBorders>
              <w:top w:val="nil"/>
              <w:left w:val="nil"/>
              <w:bottom w:val="nil"/>
              <w:right w:val="nil"/>
            </w:tcBorders>
            <w:tcMar>
              <w:top w:w="0" w:type="dxa"/>
              <w:left w:w="62" w:type="dxa"/>
              <w:bottom w:w="0" w:type="dxa"/>
              <w:right w:w="62" w:type="dxa"/>
            </w:tcMar>
          </w:tcPr>
          <w:p w:rsidR="00000000" w:rsidP="006C2F70">
            <w:pPr>
              <w:pStyle w:val="BodyText"/>
              <w:rPr>
                <w:lang w:val="en-NZ"/>
              </w:rPr>
            </w:pPr>
            <w:r w:rsidRPr="006C2F70">
              <w:t>3.1</w:t>
            </w:r>
          </w:p>
        </w:tc>
        <w:tc>
          <w:tcPr>
            <w:tcW w:w="5610" w:type="dxa"/>
            <w:tcBorders>
              <w:top w:val="nil"/>
              <w:left w:val="nil"/>
              <w:bottom w:val="nil"/>
              <w:right w:val="nil"/>
            </w:tcBorders>
            <w:tcMar>
              <w:top w:w="0" w:type="dxa"/>
              <w:left w:w="62" w:type="dxa"/>
              <w:bottom w:w="0" w:type="dxa"/>
              <w:right w:w="62" w:type="dxa"/>
            </w:tcMar>
          </w:tcPr>
          <w:p w:rsidR="00000000" w:rsidP="006C2F70">
            <w:pPr>
              <w:pStyle w:val="BodyText"/>
              <w:rPr>
                <w:lang w:val="en-NZ"/>
              </w:rPr>
            </w:pPr>
            <w:r w:rsidRPr="006C2F70">
              <w:t>Techniques for application of plural component coatings are identified and selected</w:t>
            </w:r>
          </w:p>
        </w:tc>
      </w:tr>
      <w:tr w:rsidTr="006C2F7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2F70">
            <w:pPr>
              <w:pStyle w:val="BodyText"/>
              <w:rPr>
                <w:lang w:val="en-NZ"/>
              </w:rPr>
            </w:pPr>
            <w:r w:rsidRPr="006C2F70">
              <w:t>3.2</w:t>
            </w:r>
          </w:p>
        </w:tc>
        <w:tc>
          <w:tcPr>
            <w:tcW w:w="5610" w:type="dxa"/>
            <w:tcBorders>
              <w:top w:val="nil"/>
              <w:left w:val="nil"/>
              <w:bottom w:val="nil"/>
              <w:right w:val="nil"/>
            </w:tcBorders>
            <w:tcMar>
              <w:top w:w="0" w:type="dxa"/>
              <w:left w:w="62" w:type="dxa"/>
              <w:bottom w:w="0" w:type="dxa"/>
              <w:right w:w="62" w:type="dxa"/>
            </w:tcMar>
          </w:tcPr>
          <w:p w:rsidR="00000000" w:rsidP="006C2F70">
            <w:pPr>
              <w:pStyle w:val="BodyText"/>
              <w:rPr>
                <w:lang w:val="en-NZ"/>
              </w:rPr>
            </w:pPr>
            <w:r w:rsidRPr="006C2F70">
              <w:t>Materials are applied according to job instructions, material manufacturer specifications and workplace procedures</w:t>
            </w:r>
          </w:p>
        </w:tc>
      </w:tr>
      <w:tr w:rsidTr="006C2F7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2F70">
            <w:pPr>
              <w:pStyle w:val="BodyText"/>
              <w:rPr>
                <w:lang w:val="en-NZ"/>
              </w:rPr>
            </w:pPr>
            <w:r w:rsidRPr="006C2F70">
              <w:t>3.3</w:t>
            </w:r>
          </w:p>
        </w:tc>
        <w:tc>
          <w:tcPr>
            <w:tcW w:w="5610" w:type="dxa"/>
            <w:tcBorders>
              <w:top w:val="nil"/>
              <w:left w:val="nil"/>
              <w:bottom w:val="nil"/>
              <w:right w:val="nil"/>
            </w:tcBorders>
            <w:tcMar>
              <w:top w:w="0" w:type="dxa"/>
              <w:left w:w="62" w:type="dxa"/>
              <w:bottom w:w="0" w:type="dxa"/>
              <w:right w:w="62" w:type="dxa"/>
            </w:tcMar>
          </w:tcPr>
          <w:p w:rsidR="00000000" w:rsidP="006C2F70">
            <w:pPr>
              <w:pStyle w:val="BodyText"/>
              <w:rPr>
                <w:lang w:val="en-NZ"/>
              </w:rPr>
            </w:pPr>
            <w:r w:rsidRPr="006C2F70">
              <w:t>Finished products are inspected and approved for suitability for further processing</w:t>
            </w:r>
          </w:p>
        </w:tc>
      </w:tr>
      <w:tr w:rsidTr="006C2F7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2F70">
            <w:pPr>
              <w:pStyle w:val="BodyText"/>
              <w:rPr>
                <w:lang w:val="en-NZ"/>
              </w:rPr>
            </w:pPr>
            <w:r w:rsidRPr="006C2F70">
              <w:t>3.4</w:t>
            </w:r>
          </w:p>
        </w:tc>
        <w:tc>
          <w:tcPr>
            <w:tcW w:w="5610" w:type="dxa"/>
            <w:tcBorders>
              <w:top w:val="nil"/>
              <w:left w:val="nil"/>
              <w:bottom w:val="nil"/>
              <w:right w:val="nil"/>
            </w:tcBorders>
            <w:tcMar>
              <w:top w:w="0" w:type="dxa"/>
              <w:left w:w="62" w:type="dxa"/>
              <w:bottom w:w="0" w:type="dxa"/>
              <w:right w:w="62" w:type="dxa"/>
            </w:tcMar>
          </w:tcPr>
          <w:p w:rsidR="00000000" w:rsidP="006C2F70">
            <w:pPr>
              <w:pStyle w:val="BodyText"/>
              <w:rPr>
                <w:lang w:val="en-NZ"/>
              </w:rPr>
            </w:pPr>
            <w:r w:rsidRPr="006C2F70">
              <w:t>Products which do not meet quality spe</w:t>
            </w:r>
            <w:r w:rsidRPr="006C2F70">
              <w:t>cifications are rectified or tagged for further investigation</w:t>
            </w:r>
          </w:p>
        </w:tc>
      </w:tr>
      <w:tr w:rsidTr="006C2F70">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6C2F70">
            <w:pPr>
              <w:pStyle w:val="BodyText"/>
              <w:rPr>
                <w:lang w:val="en-NZ"/>
              </w:rPr>
            </w:pPr>
            <w:r w:rsidRPr="006C2F70">
              <w:t>4</w:t>
            </w:r>
          </w:p>
        </w:tc>
        <w:tc>
          <w:tcPr>
            <w:tcW w:w="1962" w:type="dxa"/>
            <w:vMerge w:val="restart"/>
            <w:tcBorders>
              <w:top w:val="nil"/>
              <w:left w:val="nil"/>
              <w:bottom w:val="nil"/>
              <w:right w:val="nil"/>
            </w:tcBorders>
            <w:tcMar>
              <w:top w:w="0" w:type="dxa"/>
              <w:left w:w="62" w:type="dxa"/>
              <w:bottom w:w="0" w:type="dxa"/>
              <w:right w:w="62" w:type="dxa"/>
            </w:tcMar>
          </w:tcPr>
          <w:p w:rsidR="00000000" w:rsidP="006C2F70">
            <w:pPr>
              <w:pStyle w:val="BodyText"/>
              <w:rPr>
                <w:lang w:val="en-NZ"/>
              </w:rPr>
            </w:pPr>
            <w:r w:rsidRPr="006C2F70">
              <w:t>Clean work area and maintain equipment</w:t>
            </w:r>
          </w:p>
        </w:tc>
        <w:tc>
          <w:tcPr>
            <w:tcW w:w="770" w:type="dxa"/>
            <w:tcBorders>
              <w:top w:val="nil"/>
              <w:left w:val="nil"/>
              <w:bottom w:val="nil"/>
              <w:right w:val="nil"/>
            </w:tcBorders>
            <w:tcMar>
              <w:top w:w="0" w:type="dxa"/>
              <w:left w:w="62" w:type="dxa"/>
              <w:bottom w:w="0" w:type="dxa"/>
              <w:right w:w="62" w:type="dxa"/>
            </w:tcMar>
          </w:tcPr>
          <w:p w:rsidR="00000000" w:rsidP="006C2F70">
            <w:pPr>
              <w:pStyle w:val="BodyText"/>
              <w:rPr>
                <w:lang w:val="en-NZ"/>
              </w:rPr>
            </w:pPr>
            <w:r w:rsidRPr="006C2F70">
              <w:t>4.1</w:t>
            </w:r>
          </w:p>
        </w:tc>
        <w:tc>
          <w:tcPr>
            <w:tcW w:w="5610" w:type="dxa"/>
            <w:tcBorders>
              <w:top w:val="nil"/>
              <w:left w:val="nil"/>
              <w:bottom w:val="nil"/>
              <w:right w:val="nil"/>
            </w:tcBorders>
            <w:tcMar>
              <w:top w:w="0" w:type="dxa"/>
              <w:left w:w="62" w:type="dxa"/>
              <w:bottom w:w="0" w:type="dxa"/>
              <w:right w:w="62" w:type="dxa"/>
            </w:tcMar>
          </w:tcPr>
          <w:p w:rsidR="00000000" w:rsidP="006C2F70">
            <w:pPr>
              <w:pStyle w:val="BodyText"/>
              <w:rPr>
                <w:lang w:val="en-NZ"/>
              </w:rPr>
            </w:pPr>
            <w:r w:rsidRPr="006C2F70">
              <w:t>Equipment used is cleaned and inspected for serviceable condition and stored appropriately</w:t>
            </w:r>
          </w:p>
        </w:tc>
      </w:tr>
      <w:tr w:rsidTr="006C2F7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2F70">
            <w:pPr>
              <w:pStyle w:val="BodyText"/>
              <w:rPr>
                <w:lang w:val="en-NZ"/>
              </w:rPr>
            </w:pPr>
            <w:r w:rsidRPr="006C2F70">
              <w:t>4.2</w:t>
            </w:r>
          </w:p>
        </w:tc>
        <w:tc>
          <w:tcPr>
            <w:tcW w:w="5610" w:type="dxa"/>
            <w:tcBorders>
              <w:top w:val="nil"/>
              <w:left w:val="nil"/>
              <w:bottom w:val="nil"/>
              <w:right w:val="nil"/>
            </w:tcBorders>
            <w:tcMar>
              <w:top w:w="0" w:type="dxa"/>
              <w:left w:w="62" w:type="dxa"/>
              <w:bottom w:w="0" w:type="dxa"/>
              <w:right w:w="62" w:type="dxa"/>
            </w:tcMar>
          </w:tcPr>
          <w:p w:rsidR="00000000" w:rsidP="006C2F70">
            <w:pPr>
              <w:pStyle w:val="BodyText"/>
              <w:rPr>
                <w:lang w:val="en-NZ"/>
              </w:rPr>
            </w:pPr>
            <w:r w:rsidRPr="006C2F70">
              <w:t>Unserviceable equipment is tagged, faults are identified and appropriate personnel are informed</w:t>
            </w:r>
          </w:p>
        </w:tc>
      </w:tr>
      <w:tr w:rsidTr="006C2F7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2F70">
            <w:pPr>
              <w:pStyle w:val="BodyText"/>
              <w:rPr>
                <w:lang w:val="en-NZ"/>
              </w:rPr>
            </w:pPr>
            <w:r w:rsidRPr="006C2F70">
              <w:t>4.3</w:t>
            </w:r>
          </w:p>
        </w:tc>
        <w:tc>
          <w:tcPr>
            <w:tcW w:w="5610" w:type="dxa"/>
            <w:tcBorders>
              <w:top w:val="nil"/>
              <w:left w:val="nil"/>
              <w:bottom w:val="nil"/>
              <w:right w:val="nil"/>
            </w:tcBorders>
            <w:tcMar>
              <w:top w:w="0" w:type="dxa"/>
              <w:left w:w="62" w:type="dxa"/>
              <w:bottom w:w="0" w:type="dxa"/>
              <w:right w:w="62" w:type="dxa"/>
            </w:tcMar>
          </w:tcPr>
          <w:p w:rsidR="00000000" w:rsidP="006C2F70">
            <w:pPr>
              <w:pStyle w:val="BodyText"/>
              <w:rPr>
                <w:lang w:val="en-NZ"/>
              </w:rPr>
            </w:pPr>
            <w:r w:rsidRPr="006C2F70">
              <w:t>Work area is cleaned and returned to approved condition</w:t>
            </w:r>
          </w:p>
        </w:tc>
      </w:tr>
      <w:tr w:rsidTr="006C2F7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2F70">
            <w:pPr>
              <w:pStyle w:val="BodyText"/>
              <w:rPr>
                <w:lang w:val="en-NZ"/>
              </w:rPr>
            </w:pPr>
            <w:r w:rsidRPr="006C2F70">
              <w:t>4.4</w:t>
            </w:r>
          </w:p>
        </w:tc>
        <w:tc>
          <w:tcPr>
            <w:tcW w:w="5610" w:type="dxa"/>
            <w:tcBorders>
              <w:top w:val="nil"/>
              <w:left w:val="nil"/>
              <w:bottom w:val="nil"/>
              <w:right w:val="nil"/>
            </w:tcBorders>
            <w:tcMar>
              <w:top w:w="0" w:type="dxa"/>
              <w:left w:w="62" w:type="dxa"/>
              <w:bottom w:w="0" w:type="dxa"/>
              <w:right w:w="62" w:type="dxa"/>
            </w:tcMar>
          </w:tcPr>
          <w:p w:rsidR="00000000" w:rsidRPr="006C2F70" w:rsidP="006C2F70">
            <w:pPr>
              <w:pStyle w:val="BodyText"/>
            </w:pPr>
            <w:r w:rsidRPr="006C2F70">
              <w:t>Workplace records are completed</w:t>
            </w:r>
          </w:p>
        </w:tc>
      </w:tr>
    </w:tbl>
    <w:p w:rsidR="00176992" w:rsidP="006C2F70">
      <w:pPr>
        <w:pStyle w:val="BodyText"/>
      </w:pPr>
    </w:p>
    <w:p w:rsidR="00176992" w:rsidP="006C2F70">
      <w:pPr>
        <w:pStyle w:val="BodyText"/>
      </w:pPr>
    </w:p>
    <w:p w:rsidR="00000000" w:rsidRPr="006C2F70" w:rsidP="006C2F70">
      <w:pPr>
        <w:pStyle w:val="Heading1"/>
      </w:pPr>
      <w:bookmarkStart w:id="7" w:name="O_631308"/>
      <w:bookmarkEnd w:id="7"/>
      <w:r w:rsidRPr="006C2F70">
        <w:t>Foundation Skills</w:t>
      </w:r>
    </w:p>
    <w:p w:rsidR="00176992" w:rsidP="00176992">
      <w:pPr>
        <w:pStyle w:val="BodyText"/>
      </w:pPr>
      <w:r w:rsidRPr="006C2F70">
        <w:t>Foundation skills essential to performance are explicit in the performance criteria of this unit of competency. Detail on appropriate performance levels for each furnishing unit of competency in reading, writing, oral communication and numeracy utilising t</w:t>
      </w:r>
      <w:r w:rsidRPr="006C2F70">
        <w:t xml:space="preserve">he Australian Core Skills Framework (ACSF) are provided in the Furnishing Training Package Implementation Guide. </w:t>
      </w:r>
    </w:p>
    <w:p w:rsidR="00000000" w:rsidRPr="006C2F70" w:rsidP="006C2F70">
      <w:pPr>
        <w:pStyle w:val="Heading1"/>
      </w:pPr>
      <w:bookmarkStart w:id="8" w:name="O_631307"/>
      <w:bookmarkEnd w:id="8"/>
      <w:r w:rsidRPr="006C2F70">
        <w:t>Range of Conditions</w:t>
      </w:r>
    </w:p>
    <w:tbl>
      <w:tblPr>
        <w:tblW w:w="0" w:type="auto"/>
        <w:tblLayout w:type="fixed"/>
        <w:tblCellMar>
          <w:left w:w="62" w:type="dxa"/>
          <w:right w:w="62" w:type="dxa"/>
        </w:tblCellMar>
        <w:tblLook w:val="0000"/>
      </w:tblPr>
      <w:tblGrid>
        <w:gridCol w:w="2760"/>
        <w:gridCol w:w="6312"/>
      </w:tblGrid>
      <w:tr w:rsidTr="006C2F7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C2F70">
            <w:pPr>
              <w:pStyle w:val="BodyText"/>
              <w:rPr>
                <w:lang w:val="en-NZ"/>
              </w:rPr>
            </w:pPr>
            <w:r w:rsidRPr="006C2F70">
              <w:t>Specifies different work environments and conditions that may affect performance. Essential operating co</w:t>
            </w:r>
            <w:r w:rsidRPr="006C2F70">
              <w:t>nditions that may be present (depending on the work situation, needs of the candidate, accessibility of the item, and local industry and regional contexts) are included. Range is restricted to essential operating conditions and any other variables essentia</w:t>
            </w:r>
            <w:r w:rsidRPr="006C2F70">
              <w:t>l to the work environment.</w:t>
            </w:r>
          </w:p>
        </w:tc>
      </w:tr>
      <w:tr w:rsidTr="006C2F7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C2F70">
            <w:pPr>
              <w:pStyle w:val="BodyText"/>
              <w:rPr>
                <w:lang w:val="en-NZ"/>
              </w:rPr>
            </w:pPr>
            <w:r w:rsidRPr="006C2F70">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6C2F70" w:rsidP="006C2F70">
            <w:pPr>
              <w:pStyle w:val="ListBullet"/>
            </w:pPr>
            <w:r w:rsidRPr="006C2F70">
              <w:t xml:space="preserve">WHS requirements, including legislation, building codes, material safety management systems, hazardous and dangerous goods codes, and local safe operating procedures or equivalent </w:t>
            </w:r>
          </w:p>
          <w:p w:rsidR="00000000" w:rsidRPr="006C2F70" w:rsidP="006C2F70">
            <w:pPr>
              <w:pStyle w:val="ListBullet"/>
            </w:pPr>
            <w:r w:rsidRPr="006C2F70">
              <w:t xml:space="preserve">work is carried out in accordance with legislative obligations, environmental legislation, relevant health regulations, manual handling procedures and organisation insurance requirements </w:t>
            </w:r>
          </w:p>
          <w:p w:rsidR="00000000" w:rsidP="006C2F70">
            <w:pPr>
              <w:pStyle w:val="ListBullet"/>
              <w:rPr>
                <w:lang w:val="en-NZ"/>
              </w:rPr>
            </w:pPr>
            <w:r w:rsidRPr="006C2F70">
              <w:t>work requires individuals to demonstrate discretion, judgement and p</w:t>
            </w:r>
            <w:r w:rsidRPr="006C2F70">
              <w:t>roblem solving in the application of plural component coatings</w:t>
            </w:r>
          </w:p>
        </w:tc>
      </w:tr>
      <w:tr w:rsidTr="006C2F7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C2F70">
            <w:pPr>
              <w:pStyle w:val="BodyText"/>
              <w:rPr>
                <w:lang w:val="en-NZ"/>
              </w:rPr>
            </w:pPr>
            <w:r w:rsidRPr="006C2F70">
              <w:rPr>
                <w:rStyle w:val="SpecialBold"/>
              </w:rPr>
              <w:t>Application techniques and processes include:</w:t>
            </w:r>
          </w:p>
        </w:tc>
        <w:tc>
          <w:tcPr>
            <w:tcW w:w="6312" w:type="dxa"/>
            <w:tcBorders>
              <w:top w:val="nil"/>
              <w:left w:val="nil"/>
              <w:bottom w:val="nil"/>
              <w:right w:val="nil"/>
            </w:tcBorders>
            <w:tcMar>
              <w:top w:w="0" w:type="dxa"/>
              <w:left w:w="62" w:type="dxa"/>
              <w:bottom w:w="0" w:type="dxa"/>
              <w:right w:w="62" w:type="dxa"/>
            </w:tcMar>
          </w:tcPr>
          <w:p w:rsidR="00000000" w:rsidP="006C2F70">
            <w:pPr>
              <w:pStyle w:val="ListBullet"/>
              <w:rPr>
                <w:lang w:val="en-NZ"/>
              </w:rPr>
            </w:pPr>
            <w:r w:rsidRPr="006C2F70">
              <w:t>brushing and spraying</w:t>
            </w:r>
          </w:p>
        </w:tc>
      </w:tr>
      <w:tr w:rsidTr="006C2F7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C2F70">
            <w:pPr>
              <w:pStyle w:val="BodyText"/>
              <w:rPr>
                <w:lang w:val="en-NZ"/>
              </w:rPr>
            </w:pPr>
            <w:r w:rsidRPr="006C2F70">
              <w:rPr>
                <w:rStyle w:val="SpecialBold"/>
              </w:rPr>
              <w:t>Surfaces include:</w:t>
            </w:r>
          </w:p>
        </w:tc>
        <w:tc>
          <w:tcPr>
            <w:tcW w:w="6312" w:type="dxa"/>
            <w:tcBorders>
              <w:top w:val="nil"/>
              <w:left w:val="nil"/>
              <w:bottom w:val="nil"/>
              <w:right w:val="nil"/>
            </w:tcBorders>
            <w:tcMar>
              <w:top w:w="0" w:type="dxa"/>
              <w:left w:w="62" w:type="dxa"/>
              <w:bottom w:w="0" w:type="dxa"/>
              <w:right w:w="62" w:type="dxa"/>
            </w:tcMar>
          </w:tcPr>
          <w:p w:rsidR="00000000" w:rsidRPr="006C2F70" w:rsidP="006C2F70">
            <w:pPr>
              <w:pStyle w:val="ListBullet"/>
            </w:pPr>
            <w:r w:rsidRPr="006C2F70">
              <w:t>solid timber</w:t>
            </w:r>
          </w:p>
          <w:p w:rsidR="00000000" w:rsidRPr="006C2F70" w:rsidP="006C2F70">
            <w:pPr>
              <w:pStyle w:val="ListBullet"/>
            </w:pPr>
            <w:r w:rsidRPr="006C2F70">
              <w:t>manufactured board</w:t>
            </w:r>
          </w:p>
          <w:p w:rsidR="00000000" w:rsidP="006C2F70">
            <w:pPr>
              <w:pStyle w:val="ListBullet"/>
              <w:rPr>
                <w:lang w:val="en-NZ"/>
              </w:rPr>
            </w:pPr>
            <w:r w:rsidRPr="006C2F70">
              <w:t>metal</w:t>
            </w:r>
          </w:p>
        </w:tc>
      </w:tr>
      <w:tr w:rsidTr="006C2F7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6C2F70" w:rsidP="006C2F70">
            <w:pPr>
              <w:pStyle w:val="BodyText"/>
            </w:pPr>
            <w:r w:rsidRPr="006C2F70">
              <w:rPr>
                <w:rStyle w:val="SpecialBold"/>
              </w:rPr>
              <w:t>Tools and equipment include:</w:t>
            </w:r>
          </w:p>
          <w:p w:rsidR="00000000" w:rsidP="006C2F70">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6C2F70" w:rsidP="006C2F70">
            <w:pPr>
              <w:pStyle w:val="ListBullet"/>
            </w:pPr>
            <w:r w:rsidRPr="006C2F70">
              <w:t>liquid containers</w:t>
            </w:r>
          </w:p>
          <w:p w:rsidR="00000000" w:rsidRPr="006C2F70" w:rsidP="006C2F70">
            <w:pPr>
              <w:pStyle w:val="ListBullet"/>
            </w:pPr>
            <w:r w:rsidRPr="006C2F70">
              <w:t>rubber gloves</w:t>
            </w:r>
          </w:p>
          <w:p w:rsidR="00000000" w:rsidRPr="006C2F70" w:rsidP="006C2F70">
            <w:pPr>
              <w:pStyle w:val="ListBullet"/>
            </w:pPr>
            <w:r w:rsidRPr="006C2F70">
              <w:t>positive pressure air-wash face masks</w:t>
            </w:r>
          </w:p>
          <w:p w:rsidR="00000000" w:rsidRPr="006C2F70" w:rsidP="006C2F70">
            <w:pPr>
              <w:pStyle w:val="ListBullet"/>
            </w:pPr>
            <w:r w:rsidRPr="006C2F70">
              <w:t>positive pressure water-wash spray booths</w:t>
            </w:r>
          </w:p>
          <w:p w:rsidR="00000000" w:rsidRPr="006C2F70" w:rsidP="006C2F70">
            <w:pPr>
              <w:pStyle w:val="ListBullet"/>
            </w:pPr>
            <w:r w:rsidRPr="006C2F70">
              <w:t>protective clothing</w:t>
            </w:r>
          </w:p>
          <w:p w:rsidR="00000000" w:rsidRPr="006C2F70" w:rsidP="006C2F70">
            <w:pPr>
              <w:pStyle w:val="ListBullet"/>
            </w:pPr>
            <w:r w:rsidRPr="006C2F70">
              <w:t>spray guns</w:t>
            </w:r>
          </w:p>
          <w:p w:rsidR="00000000" w:rsidRPr="006C2F70" w:rsidP="006C2F70">
            <w:pPr>
              <w:pStyle w:val="ListBullet"/>
            </w:pPr>
            <w:r w:rsidRPr="006C2F70">
              <w:t>compressor</w:t>
            </w:r>
          </w:p>
          <w:p w:rsidR="00000000" w:rsidRPr="006C2F70" w:rsidP="006C2F70">
            <w:pPr>
              <w:pStyle w:val="ListBullet"/>
            </w:pPr>
            <w:r w:rsidRPr="006C2F70">
              <w:t>air lines</w:t>
            </w:r>
          </w:p>
          <w:p w:rsidR="00000000" w:rsidRPr="006C2F70" w:rsidP="006C2F70">
            <w:pPr>
              <w:pStyle w:val="ListBullet"/>
            </w:pPr>
            <w:r w:rsidRPr="006C2F70">
              <w:t>brushes</w:t>
            </w:r>
          </w:p>
          <w:p w:rsidR="00000000" w:rsidRPr="006C2F70" w:rsidP="006C2F70">
            <w:pPr>
              <w:pStyle w:val="ListBullet"/>
            </w:pPr>
            <w:r w:rsidRPr="006C2F70">
              <w:t>sanding block</w:t>
            </w:r>
          </w:p>
          <w:p w:rsidR="00000000" w:rsidP="006C2F70">
            <w:pPr>
              <w:pStyle w:val="ListBullet"/>
              <w:rPr>
                <w:lang w:val="en-NZ"/>
              </w:rPr>
            </w:pPr>
            <w:r w:rsidRPr="006C2F70">
              <w:t>orbital sanders</w:t>
            </w:r>
          </w:p>
        </w:tc>
      </w:tr>
      <w:tr w:rsidTr="006C2F7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6C2F70" w:rsidP="006C2F70">
            <w:pPr>
              <w:pStyle w:val="BodyText"/>
            </w:pPr>
            <w:r w:rsidRPr="006C2F70">
              <w:rPr>
                <w:rStyle w:val="SpecialBold"/>
              </w:rPr>
              <w:t>Materials include:</w:t>
            </w:r>
          </w:p>
          <w:p w:rsidR="00000000" w:rsidP="006C2F70">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6C2F70" w:rsidP="006C2F70">
            <w:pPr>
              <w:pStyle w:val="ListBullet"/>
            </w:pPr>
            <w:r w:rsidRPr="006C2F70">
              <w:t>two-part polyurethane</w:t>
            </w:r>
          </w:p>
          <w:p w:rsidR="00000000" w:rsidRPr="006C2F70" w:rsidP="006C2F70">
            <w:pPr>
              <w:pStyle w:val="ListBullet"/>
            </w:pPr>
            <w:r w:rsidRPr="006C2F70">
              <w:t>two/three part polyester</w:t>
            </w:r>
          </w:p>
          <w:p w:rsidR="00000000" w:rsidRPr="006C2F70" w:rsidP="006C2F70">
            <w:pPr>
              <w:pStyle w:val="ListBullet"/>
            </w:pPr>
            <w:r w:rsidRPr="006C2F70">
              <w:t>acid catalysed lacquer</w:t>
            </w:r>
          </w:p>
          <w:p w:rsidR="00000000" w:rsidP="006C2F70">
            <w:pPr>
              <w:pStyle w:val="ListBullet"/>
              <w:rPr>
                <w:lang w:val="en-NZ"/>
              </w:rPr>
            </w:pPr>
            <w:r w:rsidRPr="006C2F70">
              <w:t>solvents</w:t>
            </w:r>
          </w:p>
        </w:tc>
      </w:tr>
      <w:tr w:rsidTr="006C2F7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6C2F70" w:rsidP="006C2F70">
            <w:pPr>
              <w:pStyle w:val="BodyText"/>
            </w:pPr>
            <w:r w:rsidRPr="006C2F70">
              <w:rPr>
                <w:rStyle w:val="SpecialBold"/>
              </w:rPr>
              <w:t>Personal protective equipment includes:</w:t>
            </w:r>
          </w:p>
          <w:p w:rsidR="00000000" w:rsidP="006C2F70">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P="006C2F70">
            <w:pPr>
              <w:pStyle w:val="ListBullet"/>
              <w:rPr>
                <w:lang w:val="en-NZ"/>
              </w:rPr>
            </w:pPr>
            <w:r w:rsidRPr="006C2F70">
              <w:t xml:space="preserve">that prescribed under legislation, regulations and enterprise policies and practices </w:t>
            </w:r>
          </w:p>
        </w:tc>
      </w:tr>
      <w:tr w:rsidTr="006C2F7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6C2F70" w:rsidP="006C2F70">
            <w:pPr>
              <w:pStyle w:val="BodyText"/>
            </w:pPr>
            <w:r w:rsidRPr="006C2F70">
              <w:rPr>
                <w:rStyle w:val="SpecialBold"/>
              </w:rPr>
              <w:t>Information and procedures include:</w:t>
            </w:r>
          </w:p>
          <w:p w:rsidR="00000000" w:rsidP="006C2F70">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6C2F70" w:rsidP="006C2F70">
            <w:pPr>
              <w:pStyle w:val="ListBullet"/>
            </w:pPr>
            <w:r w:rsidRPr="006C2F70">
              <w:t>workplace procedures relating to the use of tools and eq</w:t>
            </w:r>
            <w:r w:rsidRPr="006C2F70">
              <w:t xml:space="preserve">uipment </w:t>
            </w:r>
          </w:p>
          <w:p w:rsidR="00000000" w:rsidRPr="006C2F70" w:rsidP="006C2F70">
            <w:pPr>
              <w:pStyle w:val="ListBullet"/>
            </w:pPr>
            <w:r w:rsidRPr="006C2F70">
              <w:t xml:space="preserve">work instructions, including job sheets, cutting lists, plans, drawings and designs </w:t>
            </w:r>
          </w:p>
          <w:p w:rsidR="00000000" w:rsidRPr="006C2F70" w:rsidP="006C2F70">
            <w:pPr>
              <w:pStyle w:val="ListBullet"/>
            </w:pPr>
            <w:r w:rsidRPr="006C2F70">
              <w:t xml:space="preserve">workplace procedures relating to reporting and communication </w:t>
            </w:r>
          </w:p>
          <w:p w:rsidR="00000000" w:rsidRPr="006C2F70" w:rsidP="006C2F70">
            <w:pPr>
              <w:pStyle w:val="ListBullet"/>
            </w:pPr>
            <w:r w:rsidRPr="006C2F70">
              <w:t xml:space="preserve">manufacturer specifications and operational procedures </w:t>
            </w:r>
          </w:p>
        </w:tc>
      </w:tr>
    </w:tbl>
    <w:p w:rsidR="00000000" w:rsidRPr="006C2F70" w:rsidP="006C2F70">
      <w:pPr>
        <w:pStyle w:val="BodyText"/>
      </w:pPr>
    </w:p>
    <w:p w:rsidR="00000000" w:rsidRPr="006C2F70" w:rsidP="006C2F70">
      <w:pPr>
        <w:pStyle w:val="AllowPageBreak"/>
      </w:pPr>
    </w:p>
    <w:p w:rsidR="00000000" w:rsidRPr="006C2F70" w:rsidP="006C2F70">
      <w:pPr>
        <w:pStyle w:val="Heading1"/>
      </w:pPr>
      <w:bookmarkStart w:id="9" w:name="O_631306"/>
      <w:bookmarkEnd w:id="9"/>
      <w:r w:rsidRPr="006C2F70">
        <w:t>Unit Mapping Information</w:t>
      </w:r>
    </w:p>
    <w:p w:rsidR="00000000" w:rsidRPr="006C2F70" w:rsidP="00176992">
      <w:pPr>
        <w:pStyle w:val="BodyText"/>
      </w:pPr>
      <w:r w:rsidRPr="006C2F70">
        <w:t>Supersedes and is equivalent to LMFFF3003B Apply plural component coatings</w:t>
      </w:r>
    </w:p>
    <w:p w:rsidR="00000000" w:rsidRPr="006C2F70" w:rsidP="006C2F70">
      <w:pPr>
        <w:pStyle w:val="Heading1"/>
      </w:pPr>
      <w:bookmarkStart w:id="10" w:name="O_631299"/>
      <w:bookmarkEnd w:id="10"/>
      <w:r w:rsidRPr="006C2F70">
        <w:t>Links</w:t>
      </w:r>
    </w:p>
    <w:p w:rsidR="00000000" w:rsidRPr="006C2F70" w:rsidP="00176992">
      <w:pPr>
        <w:pStyle w:val="BodyText"/>
      </w:pPr>
      <w:r w:rsidRPr="006C2F70">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9F6296">
        <w:rPr>
          <w:rStyle w:val="Hyperlink"/>
        </w:rPr>
        <w:t>https://vetnet.gov.au/Pages/TrainingDocs.aspx?q=0601ab95-583a-4e93-b2d4-cfb27b03ed73</w:t>
      </w:r>
      <w:r>
        <w:fldChar w:fldCharType="end"/>
      </w:r>
    </w:p>
    <w:p w:rsidR="00000000" w:rsidRPr="006C2F70" w:rsidP="006C2F70"/>
    <w:sectPr w:rsidSect="006C2F7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F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F70" w:rsidRPr="00176992" w:rsidP="001769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F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992" w:rsidP="006C2F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76992" w:rsidP="006C2F7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76992" w:rsidP="006C2F7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F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99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C2F70" w:rsidRPr="00176992" w:rsidP="0017699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F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992" w:rsidRPr="002D2AF8" w:rsidP="006C2F70">
    <w:pPr>
      <w:pStyle w:val="Header"/>
      <w:framePr w:wrap="around"/>
    </w:pPr>
    <w:r>
      <w:fldChar w:fldCharType="begin"/>
    </w:r>
    <w:r>
      <w:instrText xml:space="preserve"> TITLE   \* MERGEFORMAT </w:instrText>
    </w:r>
    <w:r>
      <w:fldChar w:fldCharType="separate"/>
    </w:r>
    <w:r>
      <w:t>MSFFF3003 Apply plural component coatings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176992" w:rsidP="006C2F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708A06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2FC935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2F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2F70"/>
    <w:pPr>
      <w:spacing w:before="360" w:after="60"/>
      <w:outlineLvl w:val="0"/>
    </w:pPr>
    <w:rPr>
      <w:sz w:val="32"/>
    </w:rPr>
  </w:style>
  <w:style w:type="paragraph" w:styleId="Heading2">
    <w:name w:val="heading 2"/>
    <w:basedOn w:val="HeadingBase"/>
    <w:next w:val="BodyText"/>
    <w:link w:val="Heading2Char"/>
    <w:qFormat/>
    <w:rsid w:val="006C2F70"/>
    <w:pPr>
      <w:keepLines/>
      <w:spacing w:before="240" w:after="120"/>
      <w:outlineLvl w:val="1"/>
    </w:pPr>
    <w:rPr>
      <w:sz w:val="28"/>
      <w:szCs w:val="40"/>
    </w:rPr>
  </w:style>
  <w:style w:type="paragraph" w:styleId="Heading3">
    <w:name w:val="heading 3"/>
    <w:basedOn w:val="HeadingBase"/>
    <w:next w:val="BodyText"/>
    <w:link w:val="Heading3Char"/>
    <w:qFormat/>
    <w:rsid w:val="006C2F70"/>
    <w:pPr>
      <w:spacing w:before="180" w:after="120"/>
      <w:outlineLvl w:val="2"/>
    </w:pPr>
    <w:rPr>
      <w:spacing w:val="-10"/>
      <w:kern w:val="32"/>
    </w:rPr>
  </w:style>
  <w:style w:type="paragraph" w:styleId="Heading4">
    <w:name w:val="heading 4"/>
    <w:basedOn w:val="HeadingBase"/>
    <w:next w:val="BodyText"/>
    <w:link w:val="Heading4Char"/>
    <w:qFormat/>
    <w:rsid w:val="006C2F70"/>
    <w:pPr>
      <w:spacing w:before="160" w:after="120"/>
      <w:outlineLvl w:val="3"/>
    </w:pPr>
    <w:rPr>
      <w:sz w:val="22"/>
    </w:rPr>
  </w:style>
  <w:style w:type="paragraph" w:styleId="Heading5">
    <w:name w:val="heading 5"/>
    <w:basedOn w:val="HeadingBase"/>
    <w:next w:val="Normal"/>
    <w:link w:val="Heading5Char"/>
    <w:qFormat/>
    <w:rsid w:val="006C2F70"/>
    <w:pPr>
      <w:spacing w:before="80"/>
      <w:outlineLvl w:val="4"/>
    </w:pPr>
    <w:rPr>
      <w:color w:val="918585"/>
      <w:sz w:val="20"/>
    </w:rPr>
  </w:style>
  <w:style w:type="paragraph" w:styleId="Heading6">
    <w:name w:val="heading 6"/>
    <w:basedOn w:val="HeadingBase"/>
    <w:next w:val="Normal"/>
    <w:link w:val="Heading6Char"/>
    <w:qFormat/>
    <w:rsid w:val="006C2F70"/>
    <w:pPr>
      <w:spacing w:before="60"/>
      <w:outlineLvl w:val="5"/>
    </w:pPr>
    <w:rPr>
      <w:color w:val="918585"/>
      <w:sz w:val="20"/>
    </w:rPr>
  </w:style>
  <w:style w:type="paragraph" w:styleId="Heading7">
    <w:name w:val="heading 7"/>
    <w:basedOn w:val="Normal"/>
    <w:next w:val="Normal"/>
    <w:link w:val="Heading7Char"/>
    <w:qFormat/>
    <w:rsid w:val="006C2F70"/>
    <w:pPr>
      <w:ind w:left="720"/>
      <w:outlineLvl w:val="6"/>
    </w:pPr>
    <w:rPr>
      <w:i/>
    </w:rPr>
  </w:style>
  <w:style w:type="paragraph" w:styleId="Heading8">
    <w:name w:val="heading 8"/>
    <w:basedOn w:val="Normal"/>
    <w:next w:val="Normal"/>
    <w:link w:val="Heading8Char"/>
    <w:qFormat/>
    <w:rsid w:val="006C2F70"/>
    <w:pPr>
      <w:ind w:left="720"/>
      <w:outlineLvl w:val="7"/>
    </w:pPr>
    <w:rPr>
      <w:i/>
    </w:rPr>
  </w:style>
  <w:style w:type="paragraph" w:styleId="Heading9">
    <w:name w:val="heading 9"/>
    <w:basedOn w:val="Normal"/>
    <w:next w:val="Normal"/>
    <w:link w:val="Heading9Char"/>
    <w:qFormat/>
    <w:rsid w:val="006C2F70"/>
    <w:pPr>
      <w:ind w:left="720"/>
      <w:outlineLvl w:val="8"/>
    </w:pPr>
    <w:rPr>
      <w:i/>
    </w:rPr>
  </w:style>
  <w:style w:type="character" w:default="1" w:styleId="DefaultParagraphFont">
    <w:name w:val="Default Paragraph Font"/>
    <w:uiPriority w:val="1"/>
    <w:unhideWhenUsed/>
    <w:rsid w:val="006C2F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2F70"/>
  </w:style>
  <w:style w:type="character" w:customStyle="1" w:styleId="Heading1Char">
    <w:name w:val="Heading 1 Char"/>
    <w:basedOn w:val="DefaultParagraphFont"/>
    <w:link w:val="Heading1"/>
    <w:rsid w:val="006C2F70"/>
    <w:rPr>
      <w:rFonts w:ascii="Times New Roman" w:eastAsia="Times New Roman" w:hAnsi="Times New Roman" w:cs="Times New Roman"/>
      <w:b/>
      <w:sz w:val="32"/>
      <w:szCs w:val="20"/>
      <w:lang w:eastAsia="en-US"/>
    </w:rPr>
  </w:style>
  <w:style w:type="paragraph" w:styleId="BodyText">
    <w:name w:val="Body Text"/>
    <w:basedOn w:val="Normal"/>
    <w:link w:val="BodyTextChar"/>
    <w:rsid w:val="006C2F7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C2F70"/>
    <w:rPr>
      <w:rFonts w:ascii="Times New Roman" w:eastAsia="Times New Roman" w:hAnsi="Times New Roman" w:cs="Times New Roman"/>
      <w:sz w:val="24"/>
      <w:lang w:eastAsia="en-US"/>
    </w:rPr>
  </w:style>
  <w:style w:type="paragraph" w:styleId="ListBullet">
    <w:name w:val="List Bullet"/>
    <w:basedOn w:val="List"/>
    <w:rsid w:val="006C2F70"/>
    <w:pPr>
      <w:numPr>
        <w:numId w:val="11"/>
      </w:numPr>
      <w:tabs>
        <w:tab w:val="clear" w:pos="340"/>
      </w:tabs>
      <w:spacing w:before="40" w:after="40"/>
    </w:pPr>
  </w:style>
  <w:style w:type="character" w:customStyle="1" w:styleId="SpecialBold">
    <w:name w:val="Special Bold"/>
    <w:basedOn w:val="DefaultParagraphFont"/>
    <w:rsid w:val="006C2F70"/>
    <w:rPr>
      <w:b/>
      <w:spacing w:val="0"/>
    </w:rPr>
  </w:style>
  <w:style w:type="paragraph" w:customStyle="1" w:styleId="SuperHeading">
    <w:name w:val="SuperHeading"/>
    <w:basedOn w:val="Normal"/>
    <w:rsid w:val="006C2F70"/>
    <w:pPr>
      <w:spacing w:before="240" w:after="120"/>
      <w:outlineLvl w:val="0"/>
    </w:pPr>
    <w:rPr>
      <w:rFonts w:ascii="Times New Roman" w:hAnsi="Times New Roman"/>
      <w:b/>
      <w:sz w:val="32"/>
    </w:rPr>
  </w:style>
  <w:style w:type="paragraph" w:customStyle="1" w:styleId="AllowPageBreak">
    <w:name w:val="AllowPageBreak"/>
    <w:rsid w:val="006C2F7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C2F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2F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2F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2F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2F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2F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2F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2F70"/>
    <w:rPr>
      <w:rFonts w:ascii="Courier New" w:eastAsia="Times New Roman" w:hAnsi="Courier New" w:cs="Times New Roman"/>
      <w:i/>
      <w:szCs w:val="20"/>
      <w:lang w:eastAsia="en-US"/>
    </w:rPr>
  </w:style>
  <w:style w:type="paragraph" w:customStyle="1" w:styleId="HeadingBase">
    <w:name w:val="Heading Base"/>
    <w:rsid w:val="006C2F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2F70"/>
    <w:pPr>
      <w:tabs>
        <w:tab w:val="right" w:leader="dot" w:pos="9072"/>
      </w:tabs>
      <w:ind w:left="567"/>
    </w:pPr>
    <w:rPr>
      <w:szCs w:val="22"/>
    </w:rPr>
  </w:style>
  <w:style w:type="paragraph" w:customStyle="1" w:styleId="TOCBase">
    <w:name w:val="TOC Base"/>
    <w:rsid w:val="006C2F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2F70"/>
    <w:pPr>
      <w:tabs>
        <w:tab w:val="right" w:leader="dot" w:pos="9072"/>
      </w:tabs>
      <w:spacing w:before="40" w:after="40"/>
      <w:ind w:left="284"/>
    </w:pPr>
    <w:rPr>
      <w:rFonts w:ascii="Times New Roman" w:hAnsi="Times New Roman"/>
    </w:rPr>
  </w:style>
  <w:style w:type="paragraph" w:styleId="TOC1">
    <w:name w:val="toc 1"/>
    <w:basedOn w:val="TOCBase"/>
    <w:next w:val="Normal"/>
    <w:rsid w:val="006C2F7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C2F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2F70"/>
    <w:rPr>
      <w:rFonts w:ascii="Times New Roman" w:eastAsia="Times New Roman" w:hAnsi="Times New Roman" w:cs="Times New Roman"/>
      <w:sz w:val="16"/>
      <w:lang w:eastAsia="en-US"/>
    </w:rPr>
  </w:style>
  <w:style w:type="paragraph" w:styleId="Title">
    <w:name w:val="Title"/>
    <w:basedOn w:val="HeadingBase"/>
    <w:link w:val="TitleChar"/>
    <w:qFormat/>
    <w:rsid w:val="006C2F70"/>
    <w:pPr>
      <w:spacing w:before="5040"/>
      <w:jc w:val="center"/>
    </w:pPr>
    <w:rPr>
      <w:sz w:val="48"/>
      <w:szCs w:val="72"/>
      <w:lang w:val="en-US"/>
    </w:rPr>
  </w:style>
  <w:style w:type="character" w:customStyle="1" w:styleId="TitleChar">
    <w:name w:val="Title Char"/>
    <w:basedOn w:val="DefaultParagraphFont"/>
    <w:link w:val="Title"/>
    <w:rsid w:val="006C2F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2F70"/>
    <w:pPr>
      <w:tabs>
        <w:tab w:val="left" w:pos="3600"/>
        <w:tab w:val="left" w:pos="3958"/>
      </w:tabs>
    </w:pPr>
  </w:style>
  <w:style w:type="paragraph" w:styleId="List">
    <w:name w:val="List"/>
    <w:basedOn w:val="BodyText"/>
    <w:next w:val="BodyText"/>
    <w:rsid w:val="006C2F70"/>
    <w:pPr>
      <w:tabs>
        <w:tab w:val="left" w:pos="340"/>
      </w:tabs>
      <w:spacing w:before="60" w:after="60"/>
      <w:ind w:left="340" w:hanging="340"/>
    </w:pPr>
  </w:style>
  <w:style w:type="paragraph" w:customStyle="1" w:styleId="Note">
    <w:name w:val="Note"/>
    <w:basedOn w:val="BodyText"/>
    <w:rsid w:val="006C2F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2F70"/>
    <w:pPr>
      <w:framePr w:wrap="auto" w:hAnchor="text" w:y="6049"/>
    </w:pPr>
    <w:rPr>
      <w:color w:val="000000"/>
      <w:sz w:val="40"/>
    </w:rPr>
  </w:style>
  <w:style w:type="paragraph" w:customStyle="1" w:styleId="TOCTitle">
    <w:name w:val="TOCTitle"/>
    <w:basedOn w:val="Heading1"/>
    <w:rsid w:val="006C2F70"/>
    <w:pPr>
      <w:spacing w:after="240"/>
      <w:jc w:val="center"/>
      <w:outlineLvl w:val="9"/>
    </w:pPr>
    <w:rPr>
      <w:caps/>
    </w:rPr>
  </w:style>
  <w:style w:type="paragraph" w:customStyle="1" w:styleId="Version">
    <w:name w:val="Version"/>
    <w:rsid w:val="006C2F7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C2F70"/>
    <w:pPr>
      <w:numPr>
        <w:numId w:val="12"/>
      </w:numPr>
      <w:tabs>
        <w:tab w:val="clear" w:pos="680"/>
      </w:tabs>
    </w:pPr>
  </w:style>
  <w:style w:type="paragraph" w:styleId="Index1">
    <w:name w:val="index 1"/>
    <w:basedOn w:val="Normal"/>
    <w:next w:val="Normal"/>
    <w:semiHidden/>
    <w:rsid w:val="006C2F70"/>
    <w:pPr>
      <w:keepNext w:val="0"/>
      <w:tabs>
        <w:tab w:val="right" w:pos="4176"/>
      </w:tabs>
      <w:ind w:left="198" w:hanging="198"/>
    </w:pPr>
    <w:rPr>
      <w:rFonts w:ascii="Garamond" w:hAnsi="Garamond"/>
    </w:rPr>
  </w:style>
  <w:style w:type="paragraph" w:styleId="IndexHeading">
    <w:name w:val="index heading"/>
    <w:basedOn w:val="Normal"/>
    <w:next w:val="Index1"/>
    <w:semiHidden/>
    <w:rsid w:val="006C2F70"/>
    <w:pPr>
      <w:spacing w:before="120" w:after="120"/>
    </w:pPr>
    <w:rPr>
      <w:rFonts w:ascii="Arial" w:hAnsi="Arial"/>
      <w:b/>
      <w:color w:val="918585"/>
      <w:sz w:val="24"/>
    </w:rPr>
  </w:style>
  <w:style w:type="paragraph" w:styleId="Header">
    <w:name w:val="header"/>
    <w:basedOn w:val="Normal"/>
    <w:link w:val="HeaderChar"/>
    <w:rsid w:val="006C2F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2F70"/>
    <w:rPr>
      <w:rFonts w:ascii="Times New Roman" w:eastAsia="Times New Roman" w:hAnsi="Times New Roman" w:cs="Times New Roman"/>
      <w:sz w:val="16"/>
      <w:szCs w:val="20"/>
      <w:lang w:val="en-GB" w:eastAsia="en-US"/>
    </w:rPr>
  </w:style>
  <w:style w:type="paragraph" w:customStyle="1" w:styleId="Chapter">
    <w:name w:val="Chapter"/>
    <w:basedOn w:val="Normal"/>
    <w:rsid w:val="006C2F70"/>
    <w:pPr>
      <w:spacing w:before="240"/>
    </w:pPr>
    <w:rPr>
      <w:rFonts w:ascii="Times New Roman" w:hAnsi="Times New Roman"/>
      <w:smallCaps/>
      <w:spacing w:val="80"/>
      <w:sz w:val="28"/>
    </w:rPr>
  </w:style>
  <w:style w:type="paragraph" w:customStyle="1" w:styleId="InChapter">
    <w:name w:val="InChapter"/>
    <w:basedOn w:val="Heading3"/>
    <w:rsid w:val="006C2F70"/>
    <w:pPr>
      <w:spacing w:after="240"/>
      <w:outlineLvl w:val="9"/>
    </w:pPr>
    <w:rPr>
      <w:noProof/>
    </w:rPr>
  </w:style>
  <w:style w:type="paragraph" w:styleId="Index2">
    <w:name w:val="index 2"/>
    <w:basedOn w:val="Normal"/>
    <w:next w:val="Normal"/>
    <w:semiHidden/>
    <w:rsid w:val="006C2F70"/>
    <w:pPr>
      <w:tabs>
        <w:tab w:val="right" w:pos="4176"/>
      </w:tabs>
      <w:ind w:left="568" w:hanging="284"/>
    </w:pPr>
    <w:rPr>
      <w:rFonts w:ascii="Garamond" w:hAnsi="Garamond"/>
    </w:rPr>
  </w:style>
  <w:style w:type="paragraph" w:customStyle="1" w:styleId="Byline">
    <w:name w:val="Byline"/>
    <w:rsid w:val="006C2F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2F70"/>
    <w:pPr>
      <w:tabs>
        <w:tab w:val="clear" w:pos="3600"/>
        <w:tab w:val="clear" w:pos="3958"/>
      </w:tabs>
      <w:jc w:val="right"/>
    </w:pPr>
  </w:style>
  <w:style w:type="character" w:styleId="Emphasis">
    <w:name w:val="Emphasis"/>
    <w:basedOn w:val="DefaultParagraphFont"/>
    <w:qFormat/>
    <w:rsid w:val="006C2F70"/>
    <w:rPr>
      <w:i/>
    </w:rPr>
  </w:style>
  <w:style w:type="paragraph" w:styleId="Caption">
    <w:name w:val="caption"/>
    <w:basedOn w:val="BodyText"/>
    <w:next w:val="Normal"/>
    <w:qFormat/>
    <w:rsid w:val="006C2F70"/>
    <w:pPr>
      <w:framePr w:w="2268" w:hSpace="181" w:vSpace="181" w:wrap="around" w:vAnchor="text" w:hAnchor="page" w:x="1135" w:y="285" w:anchorLock="1"/>
    </w:pPr>
    <w:rPr>
      <w:i/>
    </w:rPr>
  </w:style>
  <w:style w:type="paragraph" w:customStyle="1" w:styleId="MiniTOCTitle">
    <w:name w:val="MiniTOCTitle"/>
    <w:basedOn w:val="Heading4"/>
    <w:rsid w:val="006C2F70"/>
    <w:pPr>
      <w:spacing w:before="240"/>
      <w:outlineLvl w:val="9"/>
    </w:pPr>
    <w:rPr>
      <w:noProof/>
      <w:sz w:val="24"/>
    </w:rPr>
  </w:style>
  <w:style w:type="paragraph" w:customStyle="1" w:styleId="MiniTOCItem">
    <w:name w:val="MiniTOCItem"/>
    <w:basedOn w:val="ListBullet"/>
    <w:rsid w:val="006C2F70"/>
    <w:pPr>
      <w:numPr>
        <w:numId w:val="0"/>
      </w:numPr>
      <w:tabs>
        <w:tab w:val="right" w:leader="dot" w:pos="6521"/>
      </w:tabs>
      <w:spacing w:before="0" w:after="0"/>
    </w:pPr>
  </w:style>
  <w:style w:type="paragraph" w:customStyle="1" w:styleId="TOFTitle">
    <w:name w:val="TOFTitle"/>
    <w:basedOn w:val="TOCTitle"/>
    <w:rsid w:val="006C2F70"/>
  </w:style>
  <w:style w:type="paragraph" w:styleId="TableofFigures">
    <w:name w:val="table of figures"/>
    <w:basedOn w:val="Normal"/>
    <w:next w:val="Normal"/>
    <w:semiHidden/>
    <w:rsid w:val="006C2F70"/>
    <w:pPr>
      <w:tabs>
        <w:tab w:val="right" w:leader="dot" w:pos="9072"/>
      </w:tabs>
      <w:ind w:left="970" w:hanging="403"/>
    </w:pPr>
    <w:rPr>
      <w:rFonts w:ascii="Times New Roman" w:hAnsi="Times New Roman"/>
      <w:b/>
    </w:rPr>
  </w:style>
  <w:style w:type="paragraph" w:styleId="ListNumber">
    <w:name w:val="List Number"/>
    <w:basedOn w:val="List"/>
    <w:rsid w:val="006C2F70"/>
    <w:pPr>
      <w:numPr>
        <w:numId w:val="14"/>
      </w:numPr>
      <w:tabs>
        <w:tab w:val="clear" w:pos="340"/>
      </w:tabs>
    </w:pPr>
  </w:style>
  <w:style w:type="character" w:customStyle="1" w:styleId="WingdingSymbols">
    <w:name w:val="Wingding Symbols"/>
    <w:rsid w:val="006C2F70"/>
    <w:rPr>
      <w:rFonts w:ascii="Wingdings" w:hAnsi="Wingdings"/>
    </w:rPr>
  </w:style>
  <w:style w:type="paragraph" w:customStyle="1" w:styleId="TableHeading">
    <w:name w:val="Table Heading"/>
    <w:basedOn w:val="HeadingBase"/>
    <w:rsid w:val="006C2F70"/>
    <w:pPr>
      <w:keepLines/>
      <w:pBdr>
        <w:bottom w:val="single" w:sz="6" w:space="1" w:color="918585"/>
      </w:pBdr>
      <w:spacing w:before="240"/>
    </w:pPr>
  </w:style>
  <w:style w:type="character" w:customStyle="1" w:styleId="HotSpot">
    <w:name w:val="HotSpot"/>
    <w:rsid w:val="006C2F70"/>
    <w:rPr>
      <w:color w:val="0033CC"/>
      <w:u w:val="none"/>
    </w:rPr>
  </w:style>
  <w:style w:type="paragraph" w:customStyle="1" w:styleId="BodyTextRight">
    <w:name w:val="Body Text Right"/>
    <w:basedOn w:val="BodyText"/>
    <w:rsid w:val="006C2F70"/>
    <w:pPr>
      <w:spacing w:before="0" w:after="0"/>
      <w:jc w:val="right"/>
    </w:pPr>
  </w:style>
  <w:style w:type="paragraph" w:styleId="Index3">
    <w:name w:val="index 3"/>
    <w:basedOn w:val="ListNumber2"/>
    <w:next w:val="Normal"/>
    <w:semiHidden/>
    <w:rsid w:val="006C2F70"/>
    <w:pPr>
      <w:numPr>
        <w:numId w:val="0"/>
      </w:numPr>
      <w:tabs>
        <w:tab w:val="right" w:leader="dot" w:pos="4176"/>
      </w:tabs>
    </w:pPr>
  </w:style>
  <w:style w:type="paragraph" w:styleId="ListNumber2">
    <w:name w:val="List Number 2"/>
    <w:basedOn w:val="List2"/>
    <w:rsid w:val="006C2F70"/>
    <w:pPr>
      <w:numPr>
        <w:numId w:val="9"/>
      </w:numPr>
      <w:tabs>
        <w:tab w:val="clear" w:pos="1060"/>
      </w:tabs>
    </w:pPr>
  </w:style>
  <w:style w:type="paragraph" w:customStyle="1" w:styleId="MarginNote">
    <w:name w:val="Margin Note"/>
    <w:basedOn w:val="BodyText"/>
    <w:rsid w:val="006C2F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2F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2F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2F70"/>
    <w:rPr>
      <w:sz w:val="32"/>
    </w:rPr>
  </w:style>
  <w:style w:type="paragraph" w:customStyle="1" w:styleId="HeadingProcedure">
    <w:name w:val="Heading Procedure"/>
    <w:basedOn w:val="HeadingBase"/>
    <w:next w:val="Normal"/>
    <w:rsid w:val="006C2F70"/>
    <w:pPr>
      <w:tabs>
        <w:tab w:val="left" w:pos="0"/>
      </w:tabs>
      <w:spacing w:before="120" w:after="60"/>
    </w:pPr>
    <w:rPr>
      <w:i/>
      <w:color w:val="918585"/>
      <w:sz w:val="22"/>
    </w:rPr>
  </w:style>
  <w:style w:type="paragraph" w:customStyle="1" w:styleId="TableBodyText">
    <w:name w:val="Table Body Text"/>
    <w:basedOn w:val="BodyText"/>
    <w:rsid w:val="006C2F70"/>
    <w:pPr>
      <w:spacing w:before="60" w:after="60"/>
    </w:pPr>
  </w:style>
  <w:style w:type="paragraph" w:styleId="ListContinue">
    <w:name w:val="List Continue"/>
    <w:basedOn w:val="List"/>
    <w:rsid w:val="006C2F70"/>
    <w:pPr>
      <w:ind w:firstLine="0"/>
    </w:pPr>
  </w:style>
  <w:style w:type="paragraph" w:customStyle="1" w:styleId="ListNote">
    <w:name w:val="List Note"/>
    <w:basedOn w:val="List"/>
    <w:rsid w:val="006C2F70"/>
    <w:pPr>
      <w:pBdr>
        <w:top w:val="single" w:sz="6" w:space="2" w:color="918585"/>
        <w:bottom w:val="single" w:sz="6" w:space="2" w:color="918585"/>
      </w:pBdr>
      <w:tabs>
        <w:tab w:val="left" w:pos="1021"/>
      </w:tabs>
      <w:ind w:firstLine="0"/>
    </w:pPr>
  </w:style>
  <w:style w:type="paragraph" w:customStyle="1" w:styleId="Warning">
    <w:name w:val="Warning"/>
    <w:basedOn w:val="BodyText"/>
    <w:rsid w:val="006C2F70"/>
    <w:pPr>
      <w:shd w:val="clear" w:color="auto" w:fill="D9D9D9"/>
      <w:tabs>
        <w:tab w:val="left" w:pos="992"/>
      </w:tabs>
      <w:ind w:left="119" w:right="119"/>
    </w:pPr>
    <w:rPr>
      <w:sz w:val="20"/>
    </w:rPr>
  </w:style>
  <w:style w:type="paragraph" w:customStyle="1" w:styleId="MarginIcons">
    <w:name w:val="Margin Icons"/>
    <w:basedOn w:val="BodyText"/>
    <w:rsid w:val="006C2F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2F70"/>
    <w:rPr>
      <w:rFonts w:ascii="Courier New" w:hAnsi="Courier New"/>
    </w:rPr>
  </w:style>
  <w:style w:type="paragraph" w:customStyle="1" w:styleId="NoteBullet">
    <w:name w:val="Note Bullet"/>
    <w:basedOn w:val="Note"/>
    <w:rsid w:val="006C2F70"/>
    <w:pPr>
      <w:tabs>
        <w:tab w:val="clear" w:pos="680"/>
      </w:tabs>
      <w:spacing w:before="60" w:after="60"/>
    </w:pPr>
  </w:style>
  <w:style w:type="paragraph" w:customStyle="1" w:styleId="SubHeading2">
    <w:name w:val="SubHeading2"/>
    <w:basedOn w:val="HeadingBase"/>
    <w:rsid w:val="006C2F70"/>
    <w:pPr>
      <w:spacing w:before="240" w:after="60"/>
    </w:pPr>
    <w:rPr>
      <w:sz w:val="20"/>
    </w:rPr>
  </w:style>
  <w:style w:type="paragraph" w:customStyle="1" w:styleId="SubHeading1">
    <w:name w:val="SubHeading1"/>
    <w:basedOn w:val="HeadingBase"/>
    <w:rsid w:val="006C2F70"/>
    <w:pPr>
      <w:spacing w:before="240" w:after="60"/>
    </w:pPr>
    <w:rPr>
      <w:color w:val="918585"/>
      <w:sz w:val="22"/>
    </w:rPr>
  </w:style>
  <w:style w:type="paragraph" w:customStyle="1" w:styleId="SideHeading">
    <w:name w:val="Side Heading"/>
    <w:basedOn w:val="HeadingBase"/>
    <w:rsid w:val="006C2F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2F70"/>
    <w:pPr>
      <w:numPr>
        <w:numId w:val="10"/>
      </w:numPr>
    </w:pPr>
  </w:style>
  <w:style w:type="paragraph" w:styleId="PlainText">
    <w:name w:val="Plain Text"/>
    <w:basedOn w:val="Normal"/>
    <w:link w:val="PlainTextChar"/>
    <w:rsid w:val="006C2F70"/>
    <w:rPr>
      <w:sz w:val="20"/>
    </w:rPr>
  </w:style>
  <w:style w:type="character" w:customStyle="1" w:styleId="PlainTextChar">
    <w:name w:val="Plain Text Char"/>
    <w:basedOn w:val="DefaultParagraphFont"/>
    <w:link w:val="PlainText"/>
    <w:rsid w:val="006C2F70"/>
    <w:rPr>
      <w:rFonts w:ascii="Courier New" w:eastAsia="Times New Roman" w:hAnsi="Courier New" w:cs="Times New Roman"/>
      <w:sz w:val="20"/>
      <w:szCs w:val="20"/>
      <w:lang w:eastAsia="en-US"/>
    </w:rPr>
  </w:style>
  <w:style w:type="character" w:customStyle="1" w:styleId="MenuOption">
    <w:name w:val="Menu Option"/>
    <w:basedOn w:val="DefaultParagraphFont"/>
    <w:rsid w:val="006C2F70"/>
    <w:rPr>
      <w:b/>
      <w:smallCaps/>
    </w:rPr>
  </w:style>
  <w:style w:type="paragraph" w:customStyle="1" w:styleId="TableListNumber">
    <w:name w:val="Table List Number"/>
    <w:basedOn w:val="ListNumber"/>
    <w:rsid w:val="006C2F70"/>
    <w:pPr>
      <w:numPr>
        <w:numId w:val="0"/>
      </w:numPr>
    </w:pPr>
  </w:style>
  <w:style w:type="paragraph" w:styleId="TOC4">
    <w:name w:val="toc 4"/>
    <w:basedOn w:val="TOCBase"/>
    <w:next w:val="Normal"/>
    <w:semiHidden/>
    <w:rsid w:val="006C2F70"/>
    <w:pPr>
      <w:tabs>
        <w:tab w:val="right" w:leader="dot" w:pos="9071"/>
      </w:tabs>
      <w:ind w:left="1701"/>
    </w:pPr>
  </w:style>
  <w:style w:type="paragraph" w:customStyle="1" w:styleId="ListAlpha">
    <w:name w:val="List Alpha"/>
    <w:basedOn w:val="List"/>
    <w:rsid w:val="006C2F70"/>
    <w:pPr>
      <w:numPr>
        <w:numId w:val="8"/>
      </w:numPr>
    </w:pPr>
  </w:style>
  <w:style w:type="paragraph" w:customStyle="1" w:styleId="ListAlpha2">
    <w:name w:val="List Alpha 2"/>
    <w:basedOn w:val="List2"/>
    <w:rsid w:val="006C2F70"/>
    <w:pPr>
      <w:numPr>
        <w:numId w:val="7"/>
      </w:numPr>
    </w:pPr>
  </w:style>
  <w:style w:type="paragraph" w:styleId="List2">
    <w:name w:val="List 2"/>
    <w:basedOn w:val="BodyText"/>
    <w:rsid w:val="006C2F70"/>
    <w:pPr>
      <w:tabs>
        <w:tab w:val="left" w:pos="680"/>
      </w:tabs>
      <w:spacing w:before="60" w:after="60"/>
      <w:ind w:left="680" w:hanging="340"/>
    </w:pPr>
  </w:style>
  <w:style w:type="paragraph" w:styleId="List3">
    <w:name w:val="List 3"/>
    <w:basedOn w:val="BodyText"/>
    <w:rsid w:val="006C2F70"/>
    <w:pPr>
      <w:tabs>
        <w:tab w:val="left" w:pos="1021"/>
      </w:tabs>
      <w:spacing w:before="60" w:after="60"/>
      <w:ind w:left="1020" w:hanging="340"/>
    </w:pPr>
  </w:style>
  <w:style w:type="paragraph" w:styleId="List4">
    <w:name w:val="List 4"/>
    <w:basedOn w:val="BodyText"/>
    <w:rsid w:val="006C2F70"/>
    <w:pPr>
      <w:tabs>
        <w:tab w:val="left" w:pos="1361"/>
      </w:tabs>
      <w:spacing w:before="60" w:after="60"/>
      <w:ind w:left="1361" w:hanging="340"/>
    </w:pPr>
  </w:style>
  <w:style w:type="paragraph" w:styleId="List5">
    <w:name w:val="List 5"/>
    <w:basedOn w:val="BodyText"/>
    <w:rsid w:val="006C2F70"/>
    <w:pPr>
      <w:tabs>
        <w:tab w:val="left" w:pos="1701"/>
      </w:tabs>
      <w:spacing w:before="60" w:after="60"/>
      <w:ind w:left="1701" w:hanging="340"/>
    </w:pPr>
  </w:style>
  <w:style w:type="paragraph" w:styleId="ListBullet3">
    <w:name w:val="List Bullet 3"/>
    <w:basedOn w:val="List3"/>
    <w:rsid w:val="006C2F70"/>
    <w:pPr>
      <w:numPr>
        <w:numId w:val="13"/>
      </w:numPr>
      <w:tabs>
        <w:tab w:val="clear" w:pos="1021"/>
      </w:tabs>
      <w:ind w:left="1037" w:hanging="357"/>
    </w:pPr>
  </w:style>
  <w:style w:type="paragraph" w:styleId="ListBullet4">
    <w:name w:val="List Bullet 4"/>
    <w:basedOn w:val="List4"/>
    <w:rsid w:val="006C2F70"/>
    <w:pPr>
      <w:numPr>
        <w:numId w:val="2"/>
      </w:numPr>
      <w:tabs>
        <w:tab w:val="clear" w:pos="1361"/>
      </w:tabs>
    </w:pPr>
  </w:style>
  <w:style w:type="paragraph" w:styleId="ListBullet5">
    <w:name w:val="List Bullet 5"/>
    <w:basedOn w:val="List5"/>
    <w:rsid w:val="006C2F70"/>
    <w:pPr>
      <w:numPr>
        <w:numId w:val="3"/>
      </w:numPr>
    </w:pPr>
  </w:style>
  <w:style w:type="paragraph" w:styleId="ListContinue2">
    <w:name w:val="List Continue 2"/>
    <w:basedOn w:val="List2"/>
    <w:rsid w:val="006C2F70"/>
    <w:pPr>
      <w:ind w:firstLine="0"/>
    </w:pPr>
  </w:style>
  <w:style w:type="paragraph" w:styleId="ListContinue3">
    <w:name w:val="List Continue 3"/>
    <w:basedOn w:val="List3"/>
    <w:rsid w:val="006C2F70"/>
    <w:pPr>
      <w:ind w:left="1021" w:firstLine="0"/>
    </w:pPr>
  </w:style>
  <w:style w:type="paragraph" w:styleId="ListContinue4">
    <w:name w:val="List Continue 4"/>
    <w:basedOn w:val="List4"/>
    <w:rsid w:val="006C2F70"/>
    <w:pPr>
      <w:ind w:firstLine="0"/>
    </w:pPr>
  </w:style>
  <w:style w:type="paragraph" w:styleId="ListContinue5">
    <w:name w:val="List Continue 5"/>
    <w:basedOn w:val="List5"/>
    <w:rsid w:val="006C2F70"/>
    <w:pPr>
      <w:ind w:firstLine="0"/>
    </w:pPr>
  </w:style>
  <w:style w:type="paragraph" w:styleId="ListNumber3">
    <w:name w:val="List Number 3"/>
    <w:basedOn w:val="List3"/>
    <w:rsid w:val="006C2F70"/>
    <w:pPr>
      <w:numPr>
        <w:numId w:val="4"/>
      </w:numPr>
    </w:pPr>
  </w:style>
  <w:style w:type="paragraph" w:styleId="ListNumber4">
    <w:name w:val="List Number 4"/>
    <w:basedOn w:val="List4"/>
    <w:rsid w:val="006C2F70"/>
    <w:pPr>
      <w:numPr>
        <w:numId w:val="5"/>
      </w:numPr>
    </w:pPr>
  </w:style>
  <w:style w:type="paragraph" w:styleId="ListNumber5">
    <w:name w:val="List Number 5"/>
    <w:basedOn w:val="List5"/>
    <w:rsid w:val="006C2F70"/>
    <w:pPr>
      <w:numPr>
        <w:numId w:val="6"/>
      </w:numPr>
    </w:pPr>
  </w:style>
  <w:style w:type="paragraph" w:styleId="BlockText">
    <w:name w:val="Block Text"/>
    <w:basedOn w:val="Normal"/>
    <w:rsid w:val="006C2F70"/>
    <w:pPr>
      <w:spacing w:after="120"/>
      <w:ind w:left="1440" w:right="1440"/>
    </w:pPr>
  </w:style>
  <w:style w:type="character" w:customStyle="1" w:styleId="Subscript">
    <w:name w:val="Subscript"/>
    <w:basedOn w:val="DefaultParagraphFont"/>
    <w:rsid w:val="006C2F70"/>
    <w:rPr>
      <w:sz w:val="16"/>
      <w:vertAlign w:val="subscript"/>
    </w:rPr>
  </w:style>
  <w:style w:type="character" w:customStyle="1" w:styleId="Superscript">
    <w:name w:val="Superscript"/>
    <w:basedOn w:val="DefaultParagraphFont"/>
    <w:rsid w:val="006C2F70"/>
    <w:rPr>
      <w:sz w:val="16"/>
      <w:vertAlign w:val="superscript"/>
    </w:rPr>
  </w:style>
  <w:style w:type="character" w:customStyle="1" w:styleId="Symbols">
    <w:name w:val="Symbols"/>
    <w:basedOn w:val="DefaultParagraphFont"/>
    <w:rsid w:val="006C2F70"/>
    <w:rPr>
      <w:rFonts w:ascii="Symbol" w:hAnsi="Symbol"/>
    </w:rPr>
  </w:style>
  <w:style w:type="character" w:customStyle="1" w:styleId="MenuOptions">
    <w:name w:val="Menu Options"/>
    <w:basedOn w:val="DefaultParagraphFont"/>
    <w:rsid w:val="006C2F70"/>
    <w:rPr>
      <w:rFonts w:ascii="Arial Narrow" w:hAnsi="Arial Narrow"/>
      <w:smallCaps/>
    </w:rPr>
  </w:style>
  <w:style w:type="character" w:customStyle="1" w:styleId="Buttons">
    <w:name w:val="Buttons"/>
    <w:basedOn w:val="DefaultParagraphFont"/>
    <w:rsid w:val="006C2F70"/>
    <w:rPr>
      <w:b/>
    </w:rPr>
  </w:style>
  <w:style w:type="character" w:customStyle="1" w:styleId="Underlined">
    <w:name w:val="Underlined"/>
    <w:basedOn w:val="DefaultParagraphFont"/>
    <w:rsid w:val="006C2F70"/>
    <w:rPr>
      <w:u w:val="single"/>
    </w:rPr>
  </w:style>
  <w:style w:type="paragraph" w:customStyle="1" w:styleId="TableBodyTextRight">
    <w:name w:val="Table Body Text Right"/>
    <w:basedOn w:val="TableBodyText"/>
    <w:rsid w:val="006C2F70"/>
    <w:pPr>
      <w:widowControl w:val="0"/>
      <w:autoSpaceDE w:val="0"/>
      <w:autoSpaceDN w:val="0"/>
      <w:adjustRightInd w:val="0"/>
      <w:jc w:val="right"/>
    </w:pPr>
    <w:rPr>
      <w:rFonts w:cs="Arial"/>
      <w:szCs w:val="18"/>
    </w:rPr>
  </w:style>
  <w:style w:type="paragraph" w:customStyle="1" w:styleId="CopyrightText">
    <w:name w:val="Copyright Text"/>
    <w:basedOn w:val="BodyText"/>
    <w:rsid w:val="006C2F70"/>
    <w:rPr>
      <w:sz w:val="18"/>
    </w:rPr>
  </w:style>
  <w:style w:type="paragraph" w:customStyle="1" w:styleId="BodySmallRight">
    <w:name w:val="Body Small Right"/>
    <w:basedOn w:val="BodyTextRight"/>
    <w:rsid w:val="006C2F70"/>
    <w:rPr>
      <w:sz w:val="18"/>
      <w:szCs w:val="18"/>
    </w:rPr>
  </w:style>
  <w:style w:type="paragraph" w:customStyle="1" w:styleId="MarginEdition">
    <w:name w:val="Margin Edition"/>
    <w:basedOn w:val="MarginNote"/>
    <w:rsid w:val="006C2F70"/>
    <w:pPr>
      <w:spacing w:before="0" w:after="0"/>
    </w:pPr>
    <w:rPr>
      <w:rFonts w:ascii="Times New Roman" w:hAnsi="Times New Roman"/>
      <w:color w:val="999999"/>
    </w:rPr>
  </w:style>
  <w:style w:type="paragraph" w:customStyle="1" w:styleId="Spacer">
    <w:name w:val="Spacer"/>
    <w:basedOn w:val="Normal"/>
    <w:rsid w:val="006C2F70"/>
    <w:rPr>
      <w:sz w:val="2"/>
      <w:szCs w:val="2"/>
    </w:rPr>
  </w:style>
  <w:style w:type="character" w:customStyle="1" w:styleId="Small">
    <w:name w:val="Small"/>
    <w:basedOn w:val="DefaultParagraphFont"/>
    <w:rsid w:val="006C2F70"/>
    <w:rPr>
      <w:sz w:val="16"/>
    </w:rPr>
  </w:style>
  <w:style w:type="paragraph" w:customStyle="1" w:styleId="WideTable">
    <w:name w:val="Wide Table"/>
    <w:basedOn w:val="Normal"/>
    <w:rsid w:val="006C2F70"/>
    <w:pPr>
      <w:ind w:left="-1418"/>
    </w:pPr>
    <w:rPr>
      <w:sz w:val="2"/>
      <w:szCs w:val="2"/>
    </w:rPr>
  </w:style>
  <w:style w:type="character" w:styleId="PageNumber">
    <w:name w:val="page number"/>
    <w:basedOn w:val="DefaultParagraphFont"/>
    <w:rsid w:val="006C2F70"/>
  </w:style>
  <w:style w:type="paragraph" w:styleId="Quote">
    <w:name w:val="Quote"/>
    <w:basedOn w:val="Heading1"/>
    <w:link w:val="QuoteChar"/>
    <w:qFormat/>
    <w:rsid w:val="006C2F70"/>
    <w:rPr>
      <w:b w:val="0"/>
      <w:sz w:val="72"/>
      <w:szCs w:val="72"/>
      <w:lang w:val="en-NZ"/>
    </w:rPr>
  </w:style>
  <w:style w:type="character" w:customStyle="1" w:styleId="QuoteChar">
    <w:name w:val="Quote Char"/>
    <w:basedOn w:val="DefaultParagraphFont"/>
    <w:link w:val="Quote"/>
    <w:rsid w:val="006C2F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2F70"/>
    <w:pPr>
      <w:pageBreakBefore/>
    </w:pPr>
  </w:style>
  <w:style w:type="paragraph" w:customStyle="1" w:styleId="Border">
    <w:name w:val="Border"/>
    <w:basedOn w:val="Normal"/>
    <w:qFormat/>
    <w:rsid w:val="006C2F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2F70"/>
    <w:rPr>
      <w:b/>
      <w:bCs/>
      <w:i/>
      <w:iCs/>
      <w:color w:val="auto"/>
    </w:rPr>
  </w:style>
  <w:style w:type="paragraph" w:styleId="IntenseQuote">
    <w:name w:val="Intense Quote"/>
    <w:basedOn w:val="Normal"/>
    <w:next w:val="Normal"/>
    <w:link w:val="IntenseQuoteChar"/>
    <w:uiPriority w:val="30"/>
    <w:qFormat/>
    <w:rsid w:val="006C2F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2F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2F70"/>
    <w:rPr>
      <w:smallCaps/>
      <w:color w:val="auto"/>
      <w:u w:val="single"/>
    </w:rPr>
  </w:style>
  <w:style w:type="character" w:styleId="IntenseReference">
    <w:name w:val="Intense Reference"/>
    <w:basedOn w:val="DefaultParagraphFont"/>
    <w:uiPriority w:val="32"/>
    <w:qFormat/>
    <w:rsid w:val="006C2F70"/>
    <w:rPr>
      <w:b/>
      <w:bCs/>
      <w:smallCaps/>
      <w:color w:val="auto"/>
      <w:spacing w:val="5"/>
      <w:u w:val="single"/>
    </w:rPr>
  </w:style>
  <w:style w:type="paragraph" w:customStyle="1" w:styleId="2ColumnHeading">
    <w:name w:val="2Column Heading"/>
    <w:basedOn w:val="BodyText"/>
    <w:qFormat/>
    <w:rsid w:val="006C2F70"/>
    <w:pPr>
      <w:spacing w:after="60"/>
      <w:ind w:left="-2268"/>
    </w:pPr>
    <w:rPr>
      <w:b/>
    </w:rPr>
  </w:style>
  <w:style w:type="paragraph" w:customStyle="1" w:styleId="Heading1TOC">
    <w:name w:val="Heading1 TOC"/>
    <w:basedOn w:val="Normal"/>
    <w:qFormat/>
    <w:rsid w:val="006C2F70"/>
    <w:pPr>
      <w:spacing w:before="240" w:after="120"/>
    </w:pPr>
    <w:rPr>
      <w:rFonts w:ascii="Times New Roman" w:hAnsi="Times New Roman"/>
      <w:b/>
      <w:sz w:val="32"/>
    </w:rPr>
  </w:style>
  <w:style w:type="paragraph" w:customStyle="1" w:styleId="Heading2TOC">
    <w:name w:val="Heading2 TOC"/>
    <w:basedOn w:val="Normal"/>
    <w:qFormat/>
    <w:rsid w:val="006C2F70"/>
    <w:pPr>
      <w:spacing w:before="240" w:after="60"/>
    </w:pPr>
    <w:rPr>
      <w:rFonts w:ascii="Times New Roman" w:hAnsi="Times New Roman"/>
      <w:b/>
      <w:sz w:val="28"/>
    </w:rPr>
  </w:style>
  <w:style w:type="character" w:customStyle="1" w:styleId="Underline">
    <w:name w:val="Underline"/>
    <w:basedOn w:val="DefaultParagraphFont"/>
    <w:qFormat/>
    <w:rsid w:val="006C2F70"/>
    <w:rPr>
      <w:u w:val="single"/>
    </w:rPr>
  </w:style>
  <w:style w:type="character" w:customStyle="1" w:styleId="BoldandItalics">
    <w:name w:val="Bold and Italics"/>
    <w:qFormat/>
    <w:rsid w:val="006C2F70"/>
    <w:rPr>
      <w:b/>
      <w:i/>
      <w:u w:val="none"/>
    </w:rPr>
  </w:style>
  <w:style w:type="paragraph" w:styleId="BalloonText">
    <w:name w:val="Balloon Text"/>
    <w:basedOn w:val="Normal"/>
    <w:link w:val="BalloonTextChar"/>
    <w:rsid w:val="006C2F70"/>
    <w:rPr>
      <w:rFonts w:ascii="Tahoma" w:hAnsi="Tahoma" w:cs="Tahoma"/>
      <w:sz w:val="16"/>
      <w:szCs w:val="16"/>
    </w:rPr>
  </w:style>
  <w:style w:type="character" w:customStyle="1" w:styleId="BalloonTextChar">
    <w:name w:val="Balloon Text Char"/>
    <w:basedOn w:val="DefaultParagraphFont"/>
    <w:link w:val="BalloonText"/>
    <w:rsid w:val="006C2F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2F7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C2F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2F70"/>
    <w:rPr>
      <w:b/>
      <w:color w:val="660033"/>
      <w:spacing w:val="0"/>
    </w:rPr>
  </w:style>
  <w:style w:type="paragraph" w:customStyle="1" w:styleId="Nameditemlist">
    <w:name w:val="Named item list"/>
    <w:basedOn w:val="BodyText"/>
    <w:qFormat/>
    <w:rsid w:val="006C2F70"/>
    <w:pPr>
      <w:tabs>
        <w:tab w:val="left" w:pos="2835"/>
      </w:tabs>
      <w:ind w:left="2835" w:hanging="2835"/>
    </w:pPr>
  </w:style>
  <w:style w:type="paragraph" w:customStyle="1" w:styleId="BodyTextnopadding">
    <w:name w:val="Body Text no padding"/>
    <w:basedOn w:val="BodyText"/>
    <w:qFormat/>
    <w:rsid w:val="006C2F70"/>
    <w:pPr>
      <w:spacing w:before="0" w:after="0"/>
    </w:pPr>
  </w:style>
  <w:style w:type="paragraph" w:customStyle="1" w:styleId="BodyTextBold">
    <w:name w:val="Body Text Bold"/>
    <w:basedOn w:val="BodyText"/>
    <w:qFormat/>
    <w:rsid w:val="006C2F70"/>
    <w:rPr>
      <w:b/>
    </w:rPr>
  </w:style>
  <w:style w:type="character" w:styleId="Hyperlink">
    <w:name w:val="Hyperlink"/>
    <w:basedOn w:val="DefaultParagraphFont"/>
    <w:uiPriority w:val="99"/>
    <w:unhideWhenUsed/>
    <w:rsid w:val="0017699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742</Words>
  <Characters>4926</Characters>
  <Application>Microsoft Office Word</Application>
  <DocSecurity>0</DocSecurity>
  <Lines>223</Lines>
  <Paragraphs>123</Paragraphs>
  <ScaleCrop>false</ScaleCrop>
  <Company>Author-it Software Corporation Ltd.</Company>
  <LinksUpToDate>false</LinksUpToDate>
  <CharactersWithSpaces>5545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MSFFF3003 Apply plural component coatings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2022-06-03T07:44:00Z</dcterms:created>
  <dcterms:modified xsi:type="dcterms:W3CDTF">2022-06-03T07:44:00Z</dcterms:modified>
</cp:coreProperties>
</file>