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7EA8" w:rsidP="00037E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MSFFF2010 Dismantle and reassemble furniture for finishing</w:t>
      </w:r>
      <w:r>
        <w:fldChar w:fldCharType="end"/>
      </w:r>
    </w:p>
    <w:p w:rsidR="00037EA8" w:rsidP="00037EA8">
      <w:pPr>
        <w:pStyle w:val="Version"/>
        <w:sectPr w:rsidSect="00F43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0D5" w:rsidP="00F430D5">
      <w:pPr>
        <w:pStyle w:val="SuperHeading"/>
      </w:pPr>
      <w:r w:rsidRPr="00F430D5">
        <w:t>Assessment Requirements for MSFFF2010 Dismantle and reassemble furniture for finishing</w:t>
      </w:r>
    </w:p>
    <w:p w:rsidR="00000000" w:rsidRPr="00F430D5" w:rsidP="00F430D5">
      <w:pPr>
        <w:pStyle w:val="Heading1"/>
      </w:pPr>
      <w:bookmarkStart w:id="1" w:name="O_1248375"/>
      <w:bookmarkEnd w:id="1"/>
      <w:r w:rsidRPr="00F430D5">
        <w:t>Modification History</w:t>
      </w:r>
    </w:p>
    <w:p w:rsidR="00000000" w:rsidRPr="00F430D5" w:rsidP="00037EA8">
      <w:pPr>
        <w:pStyle w:val="BodyText"/>
      </w:pPr>
      <w:r w:rsidRPr="00F430D5">
        <w:t>Release 1. Changes to code, application, elements, perform</w:t>
      </w:r>
      <w:r w:rsidRPr="00F430D5">
        <w:t xml:space="preserve">ance criteria, assessment requirements. Foundation skills added. Range of conditions removed. Assessment requirements changed. </w:t>
      </w:r>
    </w:p>
    <w:p w:rsidR="00000000" w:rsidRPr="00F430D5" w:rsidP="00F430D5">
      <w:pPr>
        <w:pStyle w:val="Heading1"/>
      </w:pPr>
      <w:bookmarkStart w:id="2" w:name="O_1248376"/>
      <w:bookmarkEnd w:id="2"/>
      <w:r w:rsidRPr="00F430D5">
        <w:t>Performance Evidence</w:t>
      </w:r>
    </w:p>
    <w:p w:rsidR="00000000" w:rsidRPr="00F430D5" w:rsidP="00037EA8">
      <w:pPr>
        <w:pStyle w:val="BodyText"/>
      </w:pPr>
      <w:r w:rsidRPr="00F430D5">
        <w:t>There must be evidence the candidate has completed all the tasks outlined in the element</w:t>
      </w:r>
      <w:r w:rsidRPr="00F430D5">
        <w:t>s and performance criteria of this unit, and demonstrated the ability to:</w:t>
      </w:r>
    </w:p>
    <w:p w:rsidR="00000000" w:rsidRPr="00F430D5" w:rsidP="00F430D5">
      <w:pPr>
        <w:pStyle w:val="ListBullet"/>
      </w:pPr>
      <w:r w:rsidRPr="00F430D5">
        <w:t>dismantle and re-assemble at least 3 different items, including one assembled with knockdown fittings.</w:t>
      </w:r>
    </w:p>
    <w:p w:rsidR="00000000" w:rsidRPr="00F430D5" w:rsidP="00F430D5">
      <w:pPr>
        <w:pStyle w:val="AllowPageBreak"/>
      </w:pPr>
    </w:p>
    <w:p w:rsidR="00000000" w:rsidRPr="00F430D5" w:rsidP="00F430D5">
      <w:pPr>
        <w:pStyle w:val="Heading1"/>
      </w:pPr>
      <w:bookmarkStart w:id="3" w:name="O_1248377"/>
      <w:bookmarkEnd w:id="3"/>
      <w:r w:rsidRPr="00F430D5">
        <w:t>Knowledge Evidence</w:t>
      </w:r>
    </w:p>
    <w:p w:rsidR="00000000" w:rsidRPr="00F430D5" w:rsidP="00037EA8">
      <w:pPr>
        <w:pStyle w:val="BodyText"/>
      </w:pPr>
      <w:r w:rsidRPr="00F430D5">
        <w:t>There must be evidence the candidate has</w:t>
      </w:r>
      <w:r w:rsidRPr="00F430D5">
        <w:t xml:space="preserve"> knowledge of:</w:t>
      </w:r>
    </w:p>
    <w:p w:rsidR="00000000" w:rsidRPr="00F430D5" w:rsidP="00F430D5">
      <w:pPr>
        <w:pStyle w:val="ListBullet"/>
      </w:pPr>
      <w:r w:rsidRPr="00F430D5">
        <w:t>process for dismantling and reassembling materials used in furniture and fittings, including at least 5 of the following:</w:t>
      </w:r>
    </w:p>
    <w:p w:rsidR="00000000" w:rsidRPr="00F430D5" w:rsidP="00F430D5">
      <w:pPr>
        <w:pStyle w:val="ListBullet2"/>
      </w:pPr>
      <w:r w:rsidRPr="00F430D5">
        <w:t>timber</w:t>
      </w:r>
    </w:p>
    <w:p w:rsidR="00000000" w:rsidRPr="00F430D5" w:rsidP="00F430D5">
      <w:pPr>
        <w:pStyle w:val="ListBullet2"/>
      </w:pPr>
      <w:r w:rsidRPr="00F430D5">
        <w:t>manufactured board</w:t>
      </w:r>
    </w:p>
    <w:p w:rsidR="00000000" w:rsidRPr="00F430D5" w:rsidP="00F430D5">
      <w:pPr>
        <w:pStyle w:val="ListBullet2"/>
      </w:pPr>
      <w:r w:rsidRPr="00F430D5">
        <w:t>veneer</w:t>
      </w:r>
    </w:p>
    <w:p w:rsidR="00000000" w:rsidRPr="00F430D5" w:rsidP="00F430D5">
      <w:pPr>
        <w:pStyle w:val="ListBullet2"/>
      </w:pPr>
      <w:r w:rsidRPr="00F430D5">
        <w:t>brass</w:t>
      </w:r>
    </w:p>
    <w:p w:rsidR="00000000" w:rsidRPr="00F430D5" w:rsidP="00F430D5">
      <w:pPr>
        <w:pStyle w:val="ListBullet2"/>
      </w:pPr>
      <w:r w:rsidRPr="00F430D5">
        <w:t>metal</w:t>
      </w:r>
    </w:p>
    <w:p w:rsidR="00000000" w:rsidRPr="00F430D5" w:rsidP="00F430D5">
      <w:pPr>
        <w:pStyle w:val="ListBullet2"/>
      </w:pPr>
      <w:r w:rsidRPr="00F430D5">
        <w:t>adhesive</w:t>
      </w:r>
    </w:p>
    <w:p w:rsidR="00000000" w:rsidRPr="00F430D5" w:rsidP="00F430D5">
      <w:pPr>
        <w:pStyle w:val="ListBullet2"/>
      </w:pPr>
      <w:r w:rsidRPr="00F430D5">
        <w:t>laminate</w:t>
      </w:r>
    </w:p>
    <w:p w:rsidR="00000000" w:rsidRPr="00F430D5" w:rsidP="00F430D5">
      <w:pPr>
        <w:pStyle w:val="ListBullet2"/>
      </w:pPr>
      <w:r w:rsidRPr="00F430D5">
        <w:t>Perspex</w:t>
      </w:r>
    </w:p>
    <w:p w:rsidR="00000000" w:rsidRPr="00F430D5" w:rsidP="00F430D5">
      <w:pPr>
        <w:pStyle w:val="ListBullet"/>
      </w:pPr>
      <w:r w:rsidRPr="00F430D5">
        <w:t>furniture and fitting assembly processes, including the use of fasteners, adhesives and joints</w:t>
      </w:r>
    </w:p>
    <w:p w:rsidR="00000000" w:rsidRPr="00F430D5" w:rsidP="00F430D5">
      <w:pPr>
        <w:pStyle w:val="ListBullet"/>
      </w:pPr>
      <w:r w:rsidRPr="00F430D5">
        <w:t>workflow for dismantling and reassembling furniture and fittings</w:t>
      </w:r>
    </w:p>
    <w:p w:rsidR="00000000" w:rsidRPr="00F430D5" w:rsidP="00F430D5">
      <w:pPr>
        <w:pStyle w:val="ListBullet"/>
      </w:pPr>
      <w:r w:rsidRPr="00F430D5">
        <w:t>structural design of common furniture items, including at least 3 of the following:</w:t>
      </w:r>
    </w:p>
    <w:p w:rsidR="00000000" w:rsidRPr="00F430D5" w:rsidP="00F430D5">
      <w:pPr>
        <w:pStyle w:val="ListBullet2"/>
      </w:pPr>
      <w:r w:rsidRPr="00F430D5">
        <w:t>chairs</w:t>
      </w:r>
    </w:p>
    <w:p w:rsidR="00000000" w:rsidRPr="00F430D5" w:rsidP="00F430D5">
      <w:pPr>
        <w:pStyle w:val="ListBullet2"/>
      </w:pPr>
      <w:r w:rsidRPr="00F430D5">
        <w:t>tabl</w:t>
      </w:r>
      <w:r w:rsidRPr="00F430D5">
        <w:t>es</w:t>
      </w:r>
    </w:p>
    <w:p w:rsidR="00000000" w:rsidRPr="00F430D5" w:rsidP="00F430D5">
      <w:pPr>
        <w:pStyle w:val="ListBullet2"/>
      </w:pPr>
      <w:r w:rsidRPr="00F430D5">
        <w:t>desks</w:t>
      </w:r>
    </w:p>
    <w:p w:rsidR="00000000" w:rsidRPr="00F430D5" w:rsidP="00F430D5">
      <w:pPr>
        <w:pStyle w:val="ListBullet2"/>
      </w:pPr>
      <w:r w:rsidRPr="00F430D5">
        <w:t>wall units</w:t>
      </w:r>
    </w:p>
    <w:p w:rsidR="00000000" w:rsidRPr="00F430D5" w:rsidP="00F430D5">
      <w:pPr>
        <w:pStyle w:val="ListBullet2"/>
      </w:pPr>
      <w:r w:rsidRPr="00F430D5">
        <w:t>buffets</w:t>
      </w:r>
    </w:p>
    <w:p w:rsidR="00000000" w:rsidRPr="00F430D5" w:rsidP="00F430D5">
      <w:pPr>
        <w:pStyle w:val="ListBullet2"/>
      </w:pPr>
      <w:r w:rsidRPr="00F430D5">
        <w:t>side tables</w:t>
      </w:r>
    </w:p>
    <w:p w:rsidR="00000000" w:rsidRPr="00F430D5" w:rsidP="00F430D5">
      <w:pPr>
        <w:pStyle w:val="ListBullet2"/>
      </w:pPr>
      <w:r w:rsidRPr="00F430D5">
        <w:t>drawers</w:t>
      </w:r>
    </w:p>
    <w:p w:rsidR="00000000" w:rsidRPr="00F430D5" w:rsidP="00F430D5">
      <w:pPr>
        <w:pStyle w:val="ListBullet"/>
      </w:pPr>
      <w:r w:rsidRPr="00F430D5">
        <w:t>the function of tools and equipment commonly used to dismantle and reassemble furniture, including at least 5 of the following:</w:t>
      </w:r>
    </w:p>
    <w:p w:rsidR="00000000" w:rsidRPr="00F430D5" w:rsidP="00F430D5">
      <w:pPr>
        <w:pStyle w:val="ListBullet2"/>
      </w:pPr>
      <w:r w:rsidRPr="00F430D5">
        <w:t>measuring tapes or rulers</w:t>
      </w:r>
    </w:p>
    <w:p w:rsidR="00000000" w:rsidRPr="00F430D5" w:rsidP="00F430D5">
      <w:pPr>
        <w:pStyle w:val="ListBullet2"/>
      </w:pPr>
      <w:r w:rsidRPr="00F430D5">
        <w:t>hammers</w:t>
      </w:r>
    </w:p>
    <w:p w:rsidR="00000000" w:rsidRPr="00F430D5" w:rsidP="00F430D5">
      <w:pPr>
        <w:pStyle w:val="ListBullet2"/>
      </w:pPr>
      <w:r w:rsidRPr="00F430D5">
        <w:t>rubber mallets</w:t>
      </w:r>
    </w:p>
    <w:p w:rsidR="00000000" w:rsidRPr="00F430D5" w:rsidP="00F430D5">
      <w:pPr>
        <w:pStyle w:val="ListBullet2"/>
      </w:pPr>
      <w:r w:rsidRPr="00F430D5">
        <w:t>pincers</w:t>
      </w:r>
    </w:p>
    <w:p w:rsidR="00000000" w:rsidRPr="00F430D5" w:rsidP="00F430D5">
      <w:pPr>
        <w:pStyle w:val="ListBullet2"/>
      </w:pPr>
      <w:r w:rsidRPr="00F430D5">
        <w:t>screwdrivers</w:t>
      </w:r>
    </w:p>
    <w:p w:rsidR="00000000" w:rsidRPr="00F430D5" w:rsidP="00F430D5">
      <w:pPr>
        <w:pStyle w:val="ListBullet2"/>
      </w:pPr>
      <w:r w:rsidRPr="00F430D5">
        <w:t>shifting spanners</w:t>
      </w:r>
    </w:p>
    <w:p w:rsidR="00000000" w:rsidRPr="00F430D5" w:rsidP="00F430D5">
      <w:pPr>
        <w:pStyle w:val="ListBullet2"/>
      </w:pPr>
      <w:r w:rsidRPr="00F430D5">
        <w:t>spanners</w:t>
      </w:r>
    </w:p>
    <w:p w:rsidR="00000000" w:rsidRPr="00F430D5" w:rsidP="00F430D5">
      <w:pPr>
        <w:pStyle w:val="ListBullet2"/>
      </w:pPr>
      <w:r w:rsidRPr="00F430D5">
        <w:t>socket sets</w:t>
      </w:r>
    </w:p>
    <w:p w:rsidR="00000000" w:rsidRPr="00F430D5" w:rsidP="00F430D5">
      <w:pPr>
        <w:pStyle w:val="ListBullet2"/>
      </w:pPr>
      <w:r w:rsidRPr="00F430D5">
        <w:t>hacksaw and blades</w:t>
      </w:r>
    </w:p>
    <w:p w:rsidR="00000000" w:rsidRPr="00F430D5" w:rsidP="00F430D5">
      <w:pPr>
        <w:pStyle w:val="ListBullet2"/>
      </w:pPr>
      <w:r w:rsidRPr="00F430D5">
        <w:t>clamps</w:t>
      </w:r>
    </w:p>
    <w:p w:rsidR="00000000" w:rsidRPr="00F430D5" w:rsidP="00F430D5">
      <w:pPr>
        <w:pStyle w:val="ListBullet2"/>
      </w:pPr>
      <w:r w:rsidRPr="00F430D5">
        <w:t>timber wedges</w:t>
      </w:r>
    </w:p>
    <w:p w:rsidR="00000000" w:rsidRPr="00F430D5" w:rsidP="00F430D5">
      <w:pPr>
        <w:pStyle w:val="ListBullet2"/>
      </w:pPr>
      <w:r w:rsidRPr="00F430D5">
        <w:t>long nose pliers</w:t>
      </w:r>
    </w:p>
    <w:p w:rsidR="00000000" w:rsidRPr="00F430D5" w:rsidP="00F430D5">
      <w:pPr>
        <w:pStyle w:val="ListBullet2"/>
      </w:pPr>
      <w:r w:rsidRPr="00F430D5">
        <w:t>power drill/screwdriver</w:t>
      </w:r>
    </w:p>
    <w:p w:rsidR="00000000" w:rsidRPr="00F430D5" w:rsidP="00F430D5">
      <w:pPr>
        <w:pStyle w:val="ListBullet2"/>
      </w:pPr>
      <w:r w:rsidRPr="00F430D5">
        <w:t>air compressor and hoses</w:t>
      </w:r>
    </w:p>
    <w:p w:rsidR="00000000" w:rsidRPr="00F430D5" w:rsidP="00F430D5">
      <w:pPr>
        <w:pStyle w:val="ListBullet"/>
      </w:pPr>
      <w:r w:rsidRPr="00F430D5">
        <w:t>work health and safety requirements, including manual handling procedures</w:t>
      </w:r>
    </w:p>
    <w:p w:rsidR="00037EA8" w:rsidP="00F430D5">
      <w:pPr>
        <w:pStyle w:val="ListBullet"/>
      </w:pPr>
      <w:r w:rsidRPr="00F430D5">
        <w:t>personal protective equipment (PPE) required for dismantling and assembling furniture.</w:t>
      </w:r>
    </w:p>
    <w:p w:rsidR="00037EA8" w:rsidP="00F430D5">
      <w:pPr>
        <w:pStyle w:val="ListBullet"/>
      </w:pPr>
    </w:p>
    <w:p w:rsidR="00000000" w:rsidRPr="00F430D5" w:rsidP="00F430D5">
      <w:pPr>
        <w:pStyle w:val="Heading1"/>
      </w:pPr>
      <w:bookmarkStart w:id="4" w:name="O_1248378"/>
      <w:bookmarkEnd w:id="4"/>
      <w:r w:rsidRPr="00F430D5">
        <w:t>Assessment Conditions</w:t>
      </w:r>
    </w:p>
    <w:p w:rsidR="00000000" w:rsidRPr="00F430D5" w:rsidP="00037EA8">
      <w:pPr>
        <w:pStyle w:val="BodyText"/>
      </w:pPr>
      <w:r w:rsidRPr="00F430D5">
        <w:t>Skills must have been demonstrated in the workplace or in a simulated environment that reflects workplace conditions and contin</w:t>
      </w:r>
      <w:r w:rsidRPr="00F430D5">
        <w:t>gencies. The following conditions must be met for this unit:</w:t>
      </w:r>
    </w:p>
    <w:p w:rsidR="00000000" w:rsidRPr="00F430D5" w:rsidP="00F430D5">
      <w:pPr>
        <w:pStyle w:val="ListBullet"/>
      </w:pPr>
      <w:r w:rsidRPr="00F430D5">
        <w:t>use of suitable facilities, equipment and resources, including:</w:t>
      </w:r>
    </w:p>
    <w:p w:rsidR="00000000" w:rsidRPr="00F430D5" w:rsidP="00F430D5">
      <w:pPr>
        <w:pStyle w:val="ListBullet2"/>
      </w:pPr>
      <w:r w:rsidRPr="00F430D5">
        <w:t>work orders</w:t>
      </w:r>
    </w:p>
    <w:p w:rsidR="00000000" w:rsidRPr="00F430D5" w:rsidP="00F430D5">
      <w:pPr>
        <w:pStyle w:val="ListBullet2"/>
      </w:pPr>
      <w:r w:rsidRPr="00F430D5">
        <w:t>furniture or fittings for dismantling and reassembly</w:t>
      </w:r>
    </w:p>
    <w:p w:rsidR="00000000" w:rsidRPr="00F430D5" w:rsidP="00F430D5">
      <w:pPr>
        <w:pStyle w:val="ListBullet2"/>
      </w:pPr>
      <w:r w:rsidRPr="00F430D5">
        <w:t>tools and equipment required for performance evidence</w:t>
      </w:r>
    </w:p>
    <w:p w:rsidR="00000000" w:rsidRPr="00F430D5" w:rsidP="00F430D5">
      <w:pPr>
        <w:pStyle w:val="ListBullet2"/>
      </w:pPr>
      <w:r w:rsidRPr="00F430D5">
        <w:t>PPE</w:t>
      </w:r>
    </w:p>
    <w:p w:rsidR="00000000" w:rsidRPr="00F430D5" w:rsidP="00F430D5">
      <w:pPr>
        <w:pStyle w:val="ListBullet2"/>
      </w:pPr>
      <w:r w:rsidRPr="00F430D5">
        <w:t>workpl</w:t>
      </w:r>
      <w:r w:rsidRPr="00F430D5">
        <w:t>ace procedures, manufacturing specifications, codes, standards, manuals, and reference materials.</w:t>
      </w:r>
    </w:p>
    <w:p w:rsidR="00037EA8" w:rsidP="00037EA8">
      <w:pPr>
        <w:pStyle w:val="BodyText"/>
      </w:pPr>
      <w:r w:rsidRPr="00F430D5">
        <w:t>Assessors must satisfy the NVR/AQTF mandatory competency requirements for assessors.</w:t>
      </w:r>
    </w:p>
    <w:p w:rsidR="00000000" w:rsidRPr="00F430D5" w:rsidP="00F430D5">
      <w:pPr>
        <w:pStyle w:val="Heading1"/>
      </w:pPr>
      <w:bookmarkStart w:id="5" w:name="O_1248381"/>
      <w:bookmarkEnd w:id="5"/>
      <w:r w:rsidRPr="00F430D5">
        <w:t>Links</w:t>
      </w:r>
    </w:p>
    <w:p w:rsidR="00000000" w:rsidRPr="00F430D5" w:rsidP="00037EA8">
      <w:pPr>
        <w:pStyle w:val="BodyText"/>
      </w:pPr>
      <w:r w:rsidRPr="00F430D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8353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430D5" w:rsidP="00F430D5"/>
    <w:sectPr w:rsidSect="00F430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D5" w:rsidRPr="00037EA8" w:rsidP="00037E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EA8" w:rsidP="00F43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7EA8" w:rsidP="00F43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7EA8" w:rsidP="00F430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E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0D5" w:rsidRPr="00037EA8" w:rsidP="00037E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EA8" w:rsidRPr="002D2AF8" w:rsidP="00F43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MSFFF2010 Dismantle and reassemble furniture for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37EA8" w:rsidP="00F43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525E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E4A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1C9C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0D5"/>
  </w:style>
  <w:style w:type="character" w:customStyle="1" w:styleId="Heading1Char">
    <w:name w:val="Heading 1 Char"/>
    <w:basedOn w:val="DefaultParagraphFont"/>
    <w:link w:val="Heading1"/>
    <w:rsid w:val="00F43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0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0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0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30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30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0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0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0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30D5"/>
    <w:rPr>
      <w:b/>
      <w:spacing w:val="0"/>
    </w:rPr>
  </w:style>
  <w:style w:type="paragraph" w:customStyle="1" w:styleId="SuperTitle">
    <w:name w:val="SuperTitle"/>
    <w:basedOn w:val="Title"/>
    <w:rsid w:val="00F43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0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0D5"/>
    <w:rPr>
      <w:i/>
    </w:rPr>
  </w:style>
  <w:style w:type="paragraph" w:styleId="Caption">
    <w:name w:val="caption"/>
    <w:basedOn w:val="BodyText"/>
    <w:next w:val="Normal"/>
    <w:qFormat/>
    <w:rsid w:val="00F43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0D5"/>
  </w:style>
  <w:style w:type="paragraph" w:styleId="TableofFigures">
    <w:name w:val="table of figures"/>
    <w:basedOn w:val="Normal"/>
    <w:next w:val="Normal"/>
    <w:semiHidden/>
    <w:rsid w:val="00F43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0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30D5"/>
    <w:rPr>
      <w:rFonts w:ascii="Wingdings" w:hAnsi="Wingdings"/>
    </w:rPr>
  </w:style>
  <w:style w:type="paragraph" w:customStyle="1" w:styleId="TableHeading">
    <w:name w:val="Table Heading"/>
    <w:basedOn w:val="HeadingBase"/>
    <w:rsid w:val="00F43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0D5"/>
    <w:rPr>
      <w:color w:val="0033CC"/>
      <w:u w:val="none"/>
    </w:rPr>
  </w:style>
  <w:style w:type="paragraph" w:customStyle="1" w:styleId="BodyTextRight">
    <w:name w:val="Body Text Right"/>
    <w:basedOn w:val="BodyText"/>
    <w:rsid w:val="00F43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0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0D5"/>
    <w:rPr>
      <w:sz w:val="32"/>
    </w:rPr>
  </w:style>
  <w:style w:type="paragraph" w:customStyle="1" w:styleId="HeadingProcedure">
    <w:name w:val="Heading Procedure"/>
    <w:basedOn w:val="HeadingBase"/>
    <w:next w:val="Normal"/>
    <w:rsid w:val="00F43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0D5"/>
    <w:pPr>
      <w:spacing w:before="60" w:after="60"/>
    </w:pPr>
  </w:style>
  <w:style w:type="paragraph" w:styleId="ListContinue">
    <w:name w:val="List Continue"/>
    <w:basedOn w:val="List"/>
    <w:rsid w:val="00F430D5"/>
    <w:pPr>
      <w:ind w:firstLine="0"/>
    </w:pPr>
  </w:style>
  <w:style w:type="paragraph" w:customStyle="1" w:styleId="ListNote">
    <w:name w:val="List Note"/>
    <w:basedOn w:val="List"/>
    <w:rsid w:val="00F43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0D5"/>
    <w:rPr>
      <w:rFonts w:ascii="Courier New" w:hAnsi="Courier New"/>
    </w:rPr>
  </w:style>
  <w:style w:type="paragraph" w:customStyle="1" w:styleId="NoteBullet">
    <w:name w:val="Note Bullet"/>
    <w:basedOn w:val="Note"/>
    <w:rsid w:val="00F43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0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3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0D5"/>
    <w:rPr>
      <w:b/>
      <w:smallCaps/>
    </w:rPr>
  </w:style>
  <w:style w:type="paragraph" w:customStyle="1" w:styleId="TableListNumber">
    <w:name w:val="Table List Number"/>
    <w:basedOn w:val="ListNumber"/>
    <w:rsid w:val="00F43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0D5"/>
    <w:pPr>
      <w:numPr>
        <w:numId w:val="9"/>
      </w:numPr>
    </w:pPr>
  </w:style>
  <w:style w:type="paragraph" w:customStyle="1" w:styleId="ListAlpha2">
    <w:name w:val="List Alpha 2"/>
    <w:basedOn w:val="List2"/>
    <w:rsid w:val="00F430D5"/>
    <w:pPr>
      <w:numPr>
        <w:numId w:val="8"/>
      </w:numPr>
    </w:pPr>
  </w:style>
  <w:style w:type="paragraph" w:styleId="List2">
    <w:name w:val="List 2"/>
    <w:basedOn w:val="BodyText"/>
    <w:rsid w:val="00F43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0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0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0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30D5"/>
    <w:pPr>
      <w:numPr>
        <w:numId w:val="4"/>
      </w:numPr>
    </w:pPr>
  </w:style>
  <w:style w:type="paragraph" w:styleId="ListContinue2">
    <w:name w:val="List Continue 2"/>
    <w:basedOn w:val="List2"/>
    <w:rsid w:val="00F430D5"/>
    <w:pPr>
      <w:ind w:firstLine="0"/>
    </w:pPr>
  </w:style>
  <w:style w:type="paragraph" w:styleId="ListContinue3">
    <w:name w:val="List Continue 3"/>
    <w:basedOn w:val="List3"/>
    <w:rsid w:val="00F430D5"/>
    <w:pPr>
      <w:ind w:left="1021" w:firstLine="0"/>
    </w:pPr>
  </w:style>
  <w:style w:type="paragraph" w:styleId="ListContinue4">
    <w:name w:val="List Continue 4"/>
    <w:basedOn w:val="List4"/>
    <w:rsid w:val="00F430D5"/>
    <w:pPr>
      <w:ind w:firstLine="0"/>
    </w:pPr>
  </w:style>
  <w:style w:type="paragraph" w:styleId="ListContinue5">
    <w:name w:val="List Continue 5"/>
    <w:basedOn w:val="List5"/>
    <w:rsid w:val="00F430D5"/>
    <w:pPr>
      <w:ind w:firstLine="0"/>
    </w:pPr>
  </w:style>
  <w:style w:type="paragraph" w:styleId="ListNumber3">
    <w:name w:val="List Number 3"/>
    <w:basedOn w:val="List3"/>
    <w:rsid w:val="00F430D5"/>
    <w:pPr>
      <w:numPr>
        <w:numId w:val="5"/>
      </w:numPr>
    </w:pPr>
  </w:style>
  <w:style w:type="paragraph" w:styleId="ListNumber4">
    <w:name w:val="List Number 4"/>
    <w:basedOn w:val="List4"/>
    <w:rsid w:val="00F430D5"/>
    <w:pPr>
      <w:numPr>
        <w:numId w:val="6"/>
      </w:numPr>
    </w:pPr>
  </w:style>
  <w:style w:type="paragraph" w:styleId="ListNumber5">
    <w:name w:val="List Number 5"/>
    <w:basedOn w:val="List5"/>
    <w:rsid w:val="00F430D5"/>
    <w:pPr>
      <w:numPr>
        <w:numId w:val="7"/>
      </w:numPr>
    </w:pPr>
  </w:style>
  <w:style w:type="paragraph" w:styleId="BlockText">
    <w:name w:val="Block Text"/>
    <w:basedOn w:val="Normal"/>
    <w:rsid w:val="00F43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0D5"/>
    <w:rPr>
      <w:sz w:val="16"/>
      <w:vertAlign w:val="superscript"/>
    </w:rPr>
  </w:style>
  <w:style w:type="character" w:customStyle="1" w:styleId="Symbols">
    <w:name w:val="Symbols"/>
    <w:basedOn w:val="DefaultParagraphFont"/>
    <w:rsid w:val="00F430D5"/>
    <w:rPr>
      <w:rFonts w:ascii="Symbol" w:hAnsi="Symbol"/>
    </w:rPr>
  </w:style>
  <w:style w:type="character" w:customStyle="1" w:styleId="MenuOptions">
    <w:name w:val="Menu Options"/>
    <w:basedOn w:val="DefaultParagraphFont"/>
    <w:rsid w:val="00F43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0D5"/>
    <w:rPr>
      <w:b/>
    </w:rPr>
  </w:style>
  <w:style w:type="character" w:customStyle="1" w:styleId="Underlined">
    <w:name w:val="Underlined"/>
    <w:basedOn w:val="DefaultParagraphFont"/>
    <w:rsid w:val="00F430D5"/>
    <w:rPr>
      <w:u w:val="single"/>
    </w:rPr>
  </w:style>
  <w:style w:type="paragraph" w:customStyle="1" w:styleId="TableBodyTextRight">
    <w:name w:val="Table Body Text Right"/>
    <w:basedOn w:val="TableBodyText"/>
    <w:rsid w:val="00F43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0D5"/>
    <w:rPr>
      <w:sz w:val="18"/>
    </w:rPr>
  </w:style>
  <w:style w:type="paragraph" w:customStyle="1" w:styleId="BodySmallRight">
    <w:name w:val="Body Small Right"/>
    <w:basedOn w:val="BodyTextRight"/>
    <w:rsid w:val="00F430D5"/>
    <w:rPr>
      <w:sz w:val="18"/>
      <w:szCs w:val="18"/>
    </w:rPr>
  </w:style>
  <w:style w:type="paragraph" w:customStyle="1" w:styleId="MarginEdition">
    <w:name w:val="Margin Edition"/>
    <w:basedOn w:val="MarginNote"/>
    <w:rsid w:val="00F43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0D5"/>
    <w:rPr>
      <w:sz w:val="2"/>
      <w:szCs w:val="2"/>
    </w:rPr>
  </w:style>
  <w:style w:type="character" w:customStyle="1" w:styleId="Small">
    <w:name w:val="Small"/>
    <w:basedOn w:val="DefaultParagraphFont"/>
    <w:rsid w:val="00F430D5"/>
    <w:rPr>
      <w:sz w:val="16"/>
    </w:rPr>
  </w:style>
  <w:style w:type="paragraph" w:customStyle="1" w:styleId="WideTable">
    <w:name w:val="Wide Table"/>
    <w:basedOn w:val="Normal"/>
    <w:rsid w:val="00F43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0D5"/>
  </w:style>
  <w:style w:type="paragraph" w:styleId="Quote">
    <w:name w:val="Quote"/>
    <w:basedOn w:val="Heading1"/>
    <w:link w:val="QuoteChar"/>
    <w:qFormat/>
    <w:rsid w:val="00F43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0D5"/>
    <w:pPr>
      <w:pageBreakBefore/>
    </w:pPr>
  </w:style>
  <w:style w:type="paragraph" w:customStyle="1" w:styleId="Border">
    <w:name w:val="Border"/>
    <w:basedOn w:val="Normal"/>
    <w:qFormat/>
    <w:rsid w:val="00F43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0D5"/>
    <w:rPr>
      <w:u w:val="single"/>
    </w:rPr>
  </w:style>
  <w:style w:type="character" w:customStyle="1" w:styleId="BoldandItalics">
    <w:name w:val="Bold and Italics"/>
    <w:qFormat/>
    <w:rsid w:val="00F430D5"/>
    <w:rPr>
      <w:b/>
      <w:i/>
      <w:u w:val="none"/>
    </w:rPr>
  </w:style>
  <w:style w:type="paragraph" w:styleId="BalloonText">
    <w:name w:val="Balloon Text"/>
    <w:basedOn w:val="Normal"/>
    <w:link w:val="BalloonTextChar"/>
    <w:rsid w:val="00F43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0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0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0D5"/>
    <w:pPr>
      <w:spacing w:before="0" w:after="0"/>
    </w:pPr>
  </w:style>
  <w:style w:type="paragraph" w:customStyle="1" w:styleId="BodyTextBold">
    <w:name w:val="Body Text Bold"/>
    <w:basedOn w:val="BodyText"/>
    <w:qFormat/>
    <w:rsid w:val="00F430D5"/>
    <w:rPr>
      <w:b/>
    </w:rPr>
  </w:style>
  <w:style w:type="character" w:styleId="Hyperlink">
    <w:name w:val="Hyperlink"/>
    <w:basedOn w:val="DefaultParagraphFont"/>
    <w:uiPriority w:val="99"/>
    <w:unhideWhenUsed/>
    <w:rsid w:val="00037E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2326</Characters>
  <Application>Microsoft Office Word</Application>
  <DocSecurity>0</DocSecurity>
  <Lines>80</Lines>
  <Paragraphs>68</Paragraphs>
  <ScaleCrop>false</ScaleCrop>
  <Company>Author-it Software Corporation Ltd.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MSFFF2010 Dismantle and reassemble furniture for finishing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2022-12-21T05:48:00Z</dcterms:created>
  <dcterms:modified xsi:type="dcterms:W3CDTF">2022-12-21T05:48:00Z</dcterms:modified>
</cp:coreProperties>
</file>