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F53" w:rsidP="00B54F53">
      <w:pPr>
        <w:pStyle w:val="Title"/>
      </w:pPr>
      <w:r>
        <w:fldChar w:fldCharType="begin"/>
      </w:r>
      <w:r>
        <w:instrText xml:space="preserve"> TITLE   \* MERGEFORMAT </w:instrText>
      </w:r>
      <w:r>
        <w:fldChar w:fldCharType="separate"/>
      </w:r>
      <w:r>
        <w:t>MSFFF2006 Apply surface coatings by spray gun</w:t>
      </w:r>
      <w:r>
        <w:fldChar w:fldCharType="end"/>
      </w:r>
    </w:p>
    <w:p w:rsidR="00B54F53" w:rsidP="00B54F53">
      <w:pPr>
        <w:pStyle w:val="Version"/>
        <w:sectPr w:rsidSect="00AE21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2198" w:rsidP="00AE2198">
      <w:pPr>
        <w:pStyle w:val="SuperHeading"/>
      </w:pPr>
      <w:r w:rsidRPr="00AE2198">
        <w:t>MSFFF2006 Apply surface coatings by spray gun</w:t>
      </w:r>
    </w:p>
    <w:p w:rsidR="00000000" w:rsidRPr="00AE2198" w:rsidP="00AE2198">
      <w:pPr>
        <w:pStyle w:val="Heading1"/>
      </w:pPr>
      <w:bookmarkStart w:id="1" w:name="O_631150"/>
      <w:bookmarkEnd w:id="1"/>
      <w:r w:rsidRPr="00AE2198">
        <w:t>Modification History</w:t>
      </w:r>
    </w:p>
    <w:p w:rsidR="00000000" w:rsidRPr="00AE2198" w:rsidP="00B54F53">
      <w:pPr>
        <w:pStyle w:val="BodyText"/>
      </w:pPr>
      <w:r w:rsidRPr="00AE2198">
        <w:t>Release 1 - New unit of competency</w:t>
      </w:r>
    </w:p>
    <w:p w:rsidR="00000000" w:rsidRPr="00AE2198" w:rsidP="00AE2198">
      <w:pPr>
        <w:pStyle w:val="Heading1"/>
      </w:pPr>
      <w:bookmarkStart w:id="2" w:name="O_631158"/>
      <w:bookmarkEnd w:id="2"/>
      <w:r w:rsidRPr="00AE2198">
        <w:t>Application</w:t>
      </w:r>
    </w:p>
    <w:p w:rsidR="00000000" w:rsidRPr="00AE2198" w:rsidP="00B54F53">
      <w:pPr>
        <w:pStyle w:val="BodyText"/>
      </w:pPr>
      <w:r w:rsidRPr="00AE2198">
        <w:t>This unit of competency covers applying surface coatings by a handheld spray gun.</w:t>
      </w:r>
    </w:p>
    <w:p w:rsidR="00B54F53" w:rsidP="00B54F53">
      <w:pPr>
        <w:pStyle w:val="BodyText"/>
      </w:pPr>
      <w:r w:rsidRPr="00AE2198">
        <w:t>No licensing, legislative or certification requirements apply to this unit at th</w:t>
      </w:r>
      <w:r w:rsidRPr="00AE2198">
        <w:t>e time of publication.</w:t>
      </w:r>
    </w:p>
    <w:p w:rsidR="00000000" w:rsidRPr="00AE2198" w:rsidP="00AE2198">
      <w:pPr>
        <w:pStyle w:val="Heading1"/>
      </w:pPr>
      <w:bookmarkStart w:id="3" w:name="O_631157"/>
      <w:bookmarkEnd w:id="3"/>
      <w:r w:rsidRPr="00AE2198">
        <w:t>Pre-requisite Unit</w:t>
      </w:r>
    </w:p>
    <w:p w:rsidR="00000000" w:rsidRPr="00AE2198" w:rsidP="00AE2198">
      <w:pPr>
        <w:pStyle w:val="Heading1"/>
      </w:pPr>
      <w:bookmarkStart w:id="4" w:name="O_631156"/>
      <w:bookmarkEnd w:id="4"/>
      <w:r w:rsidRPr="00AE2198">
        <w:t>Competency Field</w:t>
      </w:r>
    </w:p>
    <w:p w:rsidR="00000000" w:rsidRPr="00AE2198" w:rsidP="00AE2198">
      <w:pPr>
        <w:pStyle w:val="Heading1"/>
      </w:pPr>
      <w:bookmarkStart w:id="5" w:name="O_631155"/>
      <w:bookmarkEnd w:id="5"/>
      <w:r w:rsidRPr="00AE2198">
        <w:t>Unit Sector</w:t>
      </w:r>
    </w:p>
    <w:p w:rsidR="00000000" w:rsidRPr="00AE2198" w:rsidP="00B54F53">
      <w:pPr>
        <w:pStyle w:val="BodyText"/>
      </w:pPr>
      <w:r w:rsidRPr="00AE2198">
        <w:t>Furniture finishing</w:t>
      </w:r>
    </w:p>
    <w:p w:rsidR="00000000" w:rsidRPr="00AE2198" w:rsidP="00AE2198">
      <w:pPr>
        <w:pStyle w:val="Heading1"/>
      </w:pPr>
      <w:bookmarkStart w:id="6" w:name="O_631154"/>
      <w:bookmarkEnd w:id="6"/>
      <w:r w:rsidRPr="00AE219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E219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 xml:space="preserve">Performance criteria </w:t>
            </w:r>
            <w:r w:rsidRPr="00AE2198">
              <w:t>describe the performance needed to demonstrate achievement of the element.</w:t>
            </w:r>
          </w:p>
        </w:tc>
      </w:tr>
      <w:tr w:rsidTr="00AE219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1</w:t>
            </w:r>
          </w:p>
        </w:tc>
        <w:tc>
          <w:tcPr>
            <w:tcW w:w="1962" w:type="dxa"/>
            <w:vMerge w:val="restart"/>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Plan and prepare for work</w:t>
            </w:r>
          </w:p>
        </w:tc>
        <w:tc>
          <w:tcPr>
            <w:tcW w:w="77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1.1</w:t>
            </w:r>
          </w:p>
        </w:tc>
        <w:tc>
          <w:tcPr>
            <w:tcW w:w="561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Characteristics of the surface and the required surface coating are identified from work orders or instructions</w:t>
            </w:r>
          </w:p>
        </w:tc>
      </w:tr>
      <w:tr w:rsidTr="00AE21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1.2</w:t>
            </w:r>
          </w:p>
        </w:tc>
        <w:tc>
          <w:tcPr>
            <w:tcW w:w="561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Processing and application techniques, time and safety requirements are identified and used for work planning</w:t>
            </w:r>
          </w:p>
        </w:tc>
      </w:tr>
      <w:tr w:rsidTr="00AE21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1.3</w:t>
            </w:r>
          </w:p>
        </w:tc>
        <w:tc>
          <w:tcPr>
            <w:tcW w:w="561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Work health and safety (WHS) requirements, including ventilation requirements and personal protection needs, are observed throughout the work</w:t>
            </w:r>
          </w:p>
        </w:tc>
      </w:tr>
      <w:tr w:rsidTr="00AE21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1.4</w:t>
            </w:r>
          </w:p>
        </w:tc>
        <w:tc>
          <w:tcPr>
            <w:tcW w:w="561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Tools, equipment and accessories are identified and checked for safe and effective operation for the surfac</w:t>
            </w:r>
            <w:r w:rsidRPr="00AE2198">
              <w:t>e coating task</w:t>
            </w:r>
          </w:p>
        </w:tc>
      </w:tr>
      <w:tr w:rsidTr="00AE21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1.5</w:t>
            </w:r>
          </w:p>
        </w:tc>
        <w:tc>
          <w:tcPr>
            <w:tcW w:w="561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Surface coatings are identified and prepared, as required, for the surface coating tasks</w:t>
            </w:r>
          </w:p>
        </w:tc>
      </w:tr>
      <w:tr w:rsidTr="00AE219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2</w:t>
            </w:r>
          </w:p>
        </w:tc>
        <w:tc>
          <w:tcPr>
            <w:tcW w:w="1962" w:type="dxa"/>
            <w:vMerge w:val="restart"/>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Check and prepare for spraying</w:t>
            </w:r>
          </w:p>
        </w:tc>
        <w:tc>
          <w:tcPr>
            <w:tcW w:w="77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2.1</w:t>
            </w:r>
          </w:p>
        </w:tc>
        <w:tc>
          <w:tcPr>
            <w:tcW w:w="561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Products with surface or other faults are identified and faults reported or repaired as appropriate</w:t>
            </w:r>
          </w:p>
        </w:tc>
      </w:tr>
      <w:tr w:rsidTr="00AE21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2.2</w:t>
            </w:r>
          </w:p>
        </w:tc>
        <w:tc>
          <w:tcPr>
            <w:tcW w:w="561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Other products and equipment in the workplace are protected from overspray</w:t>
            </w:r>
          </w:p>
        </w:tc>
      </w:tr>
      <w:tr w:rsidTr="00AE21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2.3</w:t>
            </w:r>
          </w:p>
        </w:tc>
        <w:tc>
          <w:tcPr>
            <w:tcW w:w="561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Trial applications of surface materials are made to check condition of spray system, spray patterns, equipment operation, materials viscosity and specified surface finish</w:t>
            </w:r>
          </w:p>
        </w:tc>
      </w:tr>
      <w:tr w:rsidTr="00AE21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2.4</w:t>
            </w:r>
          </w:p>
        </w:tc>
        <w:tc>
          <w:tcPr>
            <w:tcW w:w="561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Unserviceable components are cleaned or replaced and spray system re-assembled</w:t>
            </w:r>
          </w:p>
        </w:tc>
      </w:tr>
      <w:tr w:rsidTr="00AE21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2.5</w:t>
            </w:r>
          </w:p>
        </w:tc>
        <w:tc>
          <w:tcPr>
            <w:tcW w:w="561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Spray pattern faults are identified and rectified in accordance with workplace procedures.</w:t>
            </w:r>
          </w:p>
        </w:tc>
      </w:tr>
      <w:tr w:rsidTr="00AE21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2.6</w:t>
            </w:r>
          </w:p>
        </w:tc>
        <w:tc>
          <w:tcPr>
            <w:tcW w:w="561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Material faults are identified and workplace procedures for rectification are followed</w:t>
            </w:r>
          </w:p>
        </w:tc>
      </w:tr>
      <w:tr w:rsidTr="00AE219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3</w:t>
            </w:r>
          </w:p>
        </w:tc>
        <w:tc>
          <w:tcPr>
            <w:tcW w:w="1962" w:type="dxa"/>
            <w:vMerge w:val="restart"/>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Apply surface coating</w:t>
            </w:r>
          </w:p>
        </w:tc>
        <w:tc>
          <w:tcPr>
            <w:tcW w:w="77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3.1</w:t>
            </w:r>
          </w:p>
        </w:tc>
        <w:tc>
          <w:tcPr>
            <w:tcW w:w="561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Surfaces are kept free of contamination</w:t>
            </w:r>
          </w:p>
        </w:tc>
      </w:tr>
      <w:tr w:rsidTr="00AE21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3.2</w:t>
            </w:r>
          </w:p>
        </w:tc>
        <w:tc>
          <w:tcPr>
            <w:tcW w:w="561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Surface coatings are applied according to workplace procedures</w:t>
            </w:r>
          </w:p>
        </w:tc>
      </w:tr>
      <w:tr w:rsidTr="00AE21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3.3</w:t>
            </w:r>
          </w:p>
        </w:tc>
        <w:tc>
          <w:tcPr>
            <w:tcW w:w="561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Surface build and coverage is checked against workplace requirements for even spread and thickness</w:t>
            </w:r>
          </w:p>
        </w:tc>
      </w:tr>
      <w:tr w:rsidTr="00AE21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3.4</w:t>
            </w:r>
          </w:p>
        </w:tc>
        <w:tc>
          <w:tcPr>
            <w:tcW w:w="561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Rectification of surface faults are made in accordance with workplace procedures</w:t>
            </w:r>
          </w:p>
        </w:tc>
      </w:tr>
      <w:tr w:rsidTr="00AE21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3.5</w:t>
            </w:r>
          </w:p>
        </w:tc>
        <w:tc>
          <w:tcPr>
            <w:tcW w:w="561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Products are inspected and approved for suitability for further processing</w:t>
            </w:r>
          </w:p>
        </w:tc>
      </w:tr>
      <w:tr w:rsidTr="00AE219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4</w:t>
            </w:r>
          </w:p>
        </w:tc>
        <w:tc>
          <w:tcPr>
            <w:tcW w:w="1962" w:type="dxa"/>
            <w:vMerge w:val="restart"/>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Clean work area</w:t>
            </w:r>
          </w:p>
        </w:tc>
        <w:tc>
          <w:tcPr>
            <w:tcW w:w="77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4.1</w:t>
            </w:r>
          </w:p>
        </w:tc>
        <w:tc>
          <w:tcPr>
            <w:tcW w:w="561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Equipment is cleaned and inspected for serviceable condition and stored appropriately</w:t>
            </w:r>
          </w:p>
        </w:tc>
      </w:tr>
      <w:tr w:rsidTr="00AE21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4.2</w:t>
            </w:r>
          </w:p>
        </w:tc>
        <w:tc>
          <w:tcPr>
            <w:tcW w:w="561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Unserviceable equipment is tagged, faults are identified and appropriate personnel are informed</w:t>
            </w:r>
          </w:p>
        </w:tc>
      </w:tr>
      <w:tr w:rsidTr="00AE21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4.3</w:t>
            </w:r>
          </w:p>
        </w:tc>
        <w:tc>
          <w:tcPr>
            <w:tcW w:w="561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Work area, including spray booth, is cleaned and returned to approved condition</w:t>
            </w:r>
          </w:p>
        </w:tc>
      </w:tr>
      <w:tr w:rsidTr="00AE21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4.4</w:t>
            </w:r>
          </w:p>
        </w:tc>
        <w:tc>
          <w:tcPr>
            <w:tcW w:w="5610" w:type="dxa"/>
            <w:tcBorders>
              <w:top w:val="nil"/>
              <w:left w:val="nil"/>
              <w:bottom w:val="nil"/>
              <w:right w:val="nil"/>
            </w:tcBorders>
            <w:tcMar>
              <w:top w:w="0" w:type="dxa"/>
              <w:left w:w="62" w:type="dxa"/>
              <w:bottom w:w="0" w:type="dxa"/>
              <w:right w:w="62" w:type="dxa"/>
            </w:tcMar>
          </w:tcPr>
          <w:p w:rsidR="00000000" w:rsidRPr="00AE2198" w:rsidP="00AE2198">
            <w:pPr>
              <w:pStyle w:val="BodyText"/>
            </w:pPr>
            <w:r w:rsidRPr="00AE2198">
              <w:t>Workplace records are completed</w:t>
            </w:r>
          </w:p>
        </w:tc>
      </w:tr>
    </w:tbl>
    <w:p w:rsidR="00B54F53" w:rsidP="00AE2198">
      <w:pPr>
        <w:pStyle w:val="BodyText"/>
      </w:pPr>
    </w:p>
    <w:p w:rsidR="00B54F53" w:rsidP="00AE2198">
      <w:pPr>
        <w:pStyle w:val="BodyText"/>
      </w:pPr>
    </w:p>
    <w:p w:rsidR="00000000" w:rsidRPr="00AE2198" w:rsidP="00AE2198">
      <w:pPr>
        <w:pStyle w:val="Heading1"/>
      </w:pPr>
      <w:bookmarkStart w:id="7" w:name="O_631153"/>
      <w:bookmarkEnd w:id="7"/>
      <w:r w:rsidRPr="00AE2198">
        <w:t>Foundation Ski</w:t>
      </w:r>
      <w:r w:rsidRPr="00AE2198">
        <w:t>lls</w:t>
      </w:r>
    </w:p>
    <w:p w:rsidR="00B54F53" w:rsidP="00B54F53">
      <w:pPr>
        <w:pStyle w:val="BodyText"/>
      </w:pPr>
      <w:r w:rsidRPr="00AE2198">
        <w:t>Foundation skills essential to performance are explicit in the performance criteria of this unit of competency. Detail on appropriate performance levels for each furnishing unit of competency in reading, writing, oral communication and numeracy utilisi</w:t>
      </w:r>
      <w:r w:rsidRPr="00AE2198">
        <w:t xml:space="preserve">ng the Australian Core Skills Framework (ACSF) are provided in the Furnishing Training Package Implementation Guide. </w:t>
      </w:r>
    </w:p>
    <w:p w:rsidR="00000000" w:rsidRPr="00AE2198" w:rsidP="00AE2198">
      <w:pPr>
        <w:pStyle w:val="Heading1"/>
      </w:pPr>
      <w:bookmarkStart w:id="8" w:name="O_631152"/>
      <w:bookmarkEnd w:id="8"/>
      <w:r w:rsidRPr="00AE2198">
        <w:t>Range of Conditions</w:t>
      </w:r>
    </w:p>
    <w:tbl>
      <w:tblPr>
        <w:tblW w:w="0" w:type="auto"/>
        <w:tblLayout w:type="fixed"/>
        <w:tblCellMar>
          <w:left w:w="62" w:type="dxa"/>
          <w:right w:w="62" w:type="dxa"/>
        </w:tblCellMar>
        <w:tblLook w:val="0000"/>
      </w:tblPr>
      <w:tblGrid>
        <w:gridCol w:w="2760"/>
        <w:gridCol w:w="6312"/>
      </w:tblGrid>
      <w:tr w:rsidTr="00AE21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t>Specifies different work environments and conditions that may affect performance. Essential operating conditions that may be present (depending on the work situation, needs of the candidate, accessibility of the item, and local industry and regional contex</w:t>
            </w:r>
            <w:r w:rsidRPr="00AE2198">
              <w:t>ts) are included. Range is restricted to essential operating conditions and any other variables essential to the work environment.</w:t>
            </w:r>
          </w:p>
        </w:tc>
      </w:tr>
      <w:tr w:rsidTr="00AE21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E2198" w:rsidP="00AE2198">
            <w:pPr>
              <w:pStyle w:val="ListBullet"/>
            </w:pPr>
            <w:r w:rsidRPr="00AE2198">
              <w:t>WHS requirements, including legislation, building codes, material safety management systems, hazard</w:t>
            </w:r>
            <w:r w:rsidRPr="00AE2198">
              <w:t xml:space="preserve">ous and dangerous goods codes, and local safe operating procedures or equivalent </w:t>
            </w:r>
          </w:p>
          <w:p w:rsidR="00000000" w:rsidRPr="00AE2198" w:rsidP="00AE2198">
            <w:pPr>
              <w:pStyle w:val="ListBullet"/>
            </w:pPr>
            <w:r w:rsidRPr="00AE2198">
              <w:t xml:space="preserve">work is carried out in accordance with legislative obligations, environmental legislation, relevant health regulations, manual handling procedures and organisation insurance </w:t>
            </w:r>
            <w:r w:rsidRPr="00AE2198">
              <w:t xml:space="preserve">requirements </w:t>
            </w:r>
          </w:p>
          <w:p w:rsidR="00000000" w:rsidP="00AE2198">
            <w:pPr>
              <w:pStyle w:val="ListBullet"/>
              <w:rPr>
                <w:lang w:val="en-NZ"/>
              </w:rPr>
            </w:pPr>
            <w:r w:rsidRPr="00AE2198">
              <w:t>work requires individuals to demonstrate some discretion, judgement and problem solving in the application of surface coatings</w:t>
            </w:r>
          </w:p>
        </w:tc>
      </w:tr>
      <w:tr w:rsidTr="00AE21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rPr>
                <w:rStyle w:val="SpecialBold"/>
              </w:rPr>
              <w:t>Spray guns include:</w:t>
            </w:r>
          </w:p>
        </w:tc>
        <w:tc>
          <w:tcPr>
            <w:tcW w:w="6312" w:type="dxa"/>
            <w:tcBorders>
              <w:top w:val="nil"/>
              <w:left w:val="nil"/>
              <w:bottom w:val="nil"/>
              <w:right w:val="nil"/>
            </w:tcBorders>
            <w:tcMar>
              <w:top w:w="0" w:type="dxa"/>
              <w:left w:w="62" w:type="dxa"/>
              <w:bottom w:w="0" w:type="dxa"/>
              <w:right w:w="62" w:type="dxa"/>
            </w:tcMar>
          </w:tcPr>
          <w:p w:rsidR="00000000" w:rsidRPr="00AE2198" w:rsidP="00AE2198">
            <w:pPr>
              <w:pStyle w:val="ListBullet"/>
            </w:pPr>
            <w:r w:rsidRPr="00AE2198">
              <w:t>conventional air spray guns and airless spray guns</w:t>
            </w:r>
          </w:p>
          <w:p w:rsidR="00000000" w:rsidP="00AE2198">
            <w:pPr>
              <w:pStyle w:val="ListBullet"/>
              <w:rPr>
                <w:lang w:val="en-NZ"/>
              </w:rPr>
            </w:pPr>
            <w:r w:rsidRPr="00AE2198">
              <w:t>high volume/low p</w:t>
            </w:r>
            <w:r w:rsidRPr="00AE2198">
              <w:t>ressure (HVLP) air-assisted and airless spray guns</w:t>
            </w:r>
          </w:p>
        </w:tc>
      </w:tr>
      <w:tr w:rsidTr="00AE21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rPr>
                <w:rStyle w:val="SpecialBold"/>
              </w:rPr>
              <w:t>Coatings include:</w:t>
            </w:r>
          </w:p>
        </w:tc>
        <w:tc>
          <w:tcPr>
            <w:tcW w:w="6312" w:type="dxa"/>
            <w:tcBorders>
              <w:top w:val="nil"/>
              <w:left w:val="nil"/>
              <w:bottom w:val="nil"/>
              <w:right w:val="nil"/>
            </w:tcBorders>
            <w:tcMar>
              <w:top w:w="0" w:type="dxa"/>
              <w:left w:w="62" w:type="dxa"/>
              <w:bottom w:w="0" w:type="dxa"/>
              <w:right w:w="62" w:type="dxa"/>
            </w:tcMar>
          </w:tcPr>
          <w:p w:rsidR="00000000" w:rsidRPr="00AE2198" w:rsidP="00AE2198">
            <w:pPr>
              <w:pStyle w:val="ListBullet"/>
            </w:pPr>
            <w:r w:rsidRPr="00AE2198">
              <w:t>pre-catalysed lacquer</w:t>
            </w:r>
          </w:p>
          <w:p w:rsidR="00000000" w:rsidRPr="00AE2198" w:rsidP="00AE2198">
            <w:pPr>
              <w:pStyle w:val="ListBullet"/>
            </w:pPr>
            <w:r w:rsidRPr="00AE2198">
              <w:t>acid catalysed lacquer and nitro-cellulose lacquer</w:t>
            </w:r>
          </w:p>
          <w:p w:rsidR="00000000" w:rsidRPr="00AE2198" w:rsidP="00AE2198">
            <w:pPr>
              <w:pStyle w:val="ListBullet"/>
            </w:pPr>
            <w:r w:rsidRPr="00AE2198">
              <w:t>one-pot polyurethane and water-based coatings</w:t>
            </w:r>
          </w:p>
          <w:p w:rsidR="00000000" w:rsidP="00AE2198">
            <w:pPr>
              <w:pStyle w:val="ListBullet"/>
              <w:rPr>
                <w:lang w:val="en-NZ"/>
              </w:rPr>
            </w:pPr>
            <w:r w:rsidRPr="00AE2198">
              <w:t>stains, lacquers, polish, enamels and acrylics</w:t>
            </w:r>
          </w:p>
        </w:tc>
      </w:tr>
      <w:tr w:rsidTr="00AE21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rPr>
                <w:rStyle w:val="SpecialBold"/>
              </w:rPr>
              <w:t>Tools and equipmen</w:t>
            </w:r>
            <w:r w:rsidRPr="00AE2198">
              <w:rPr>
                <w:rStyle w:val="SpecialBold"/>
              </w:rPr>
              <w:t>t include:</w:t>
            </w:r>
          </w:p>
        </w:tc>
        <w:tc>
          <w:tcPr>
            <w:tcW w:w="6312" w:type="dxa"/>
            <w:tcBorders>
              <w:top w:val="nil"/>
              <w:left w:val="nil"/>
              <w:bottom w:val="nil"/>
              <w:right w:val="nil"/>
            </w:tcBorders>
            <w:tcMar>
              <w:top w:w="0" w:type="dxa"/>
              <w:left w:w="62" w:type="dxa"/>
              <w:bottom w:w="0" w:type="dxa"/>
              <w:right w:w="62" w:type="dxa"/>
            </w:tcMar>
          </w:tcPr>
          <w:p w:rsidR="00000000" w:rsidRPr="00AE2198" w:rsidP="00AE2198">
            <w:pPr>
              <w:pStyle w:val="ListBullet"/>
            </w:pPr>
            <w:r w:rsidRPr="00AE2198">
              <w:t>pressure feed systems</w:t>
            </w:r>
          </w:p>
          <w:p w:rsidR="00000000" w:rsidRPr="00AE2198" w:rsidP="00AE2198">
            <w:pPr>
              <w:pStyle w:val="ListBullet"/>
            </w:pPr>
            <w:r w:rsidRPr="00AE2198">
              <w:t>spray booth</w:t>
            </w:r>
          </w:p>
          <w:p w:rsidR="00000000" w:rsidRPr="00AE2198" w:rsidP="00AE2198">
            <w:pPr>
              <w:pStyle w:val="ListBullet"/>
            </w:pPr>
            <w:r w:rsidRPr="00AE2198">
              <w:t>liquid containers</w:t>
            </w:r>
          </w:p>
          <w:p w:rsidR="00000000" w:rsidRPr="00AE2198" w:rsidP="00AE2198">
            <w:pPr>
              <w:pStyle w:val="ListBullet"/>
            </w:pPr>
            <w:r w:rsidRPr="00AE2198">
              <w:t>air compressor and hoses</w:t>
            </w:r>
          </w:p>
          <w:p w:rsidR="00000000" w:rsidRPr="00AE2198" w:rsidP="00AE2198">
            <w:pPr>
              <w:pStyle w:val="ListBullet"/>
            </w:pPr>
            <w:r w:rsidRPr="00AE2198">
              <w:t>air regulator</w:t>
            </w:r>
          </w:p>
          <w:p w:rsidR="00000000" w:rsidRPr="00AE2198" w:rsidP="00AE2198">
            <w:pPr>
              <w:pStyle w:val="ListBullet"/>
            </w:pPr>
            <w:r w:rsidRPr="00AE2198">
              <w:t>positive pressure air-wash masks</w:t>
            </w:r>
          </w:p>
          <w:p w:rsidR="00000000" w:rsidRPr="00AE2198" w:rsidP="00AE2198">
            <w:pPr>
              <w:pStyle w:val="ListBullet"/>
            </w:pPr>
            <w:r w:rsidRPr="00AE2198">
              <w:t>canister-type face masks</w:t>
            </w:r>
          </w:p>
          <w:p w:rsidR="00000000" w:rsidRPr="00AE2198" w:rsidP="00AE2198">
            <w:pPr>
              <w:pStyle w:val="ListBullet"/>
            </w:pPr>
            <w:r w:rsidRPr="00AE2198">
              <w:t>screwdrivers</w:t>
            </w:r>
          </w:p>
          <w:p w:rsidR="00000000" w:rsidP="00AE2198">
            <w:pPr>
              <w:pStyle w:val="ListBullet"/>
              <w:rPr>
                <w:lang w:val="en-NZ"/>
              </w:rPr>
            </w:pPr>
            <w:r w:rsidRPr="00AE2198">
              <w:t>shifting spanner and spanners</w:t>
            </w:r>
          </w:p>
        </w:tc>
      </w:tr>
      <w:tr w:rsidTr="00AE21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E2198">
            <w:pPr>
              <w:pStyle w:val="BodyText"/>
              <w:rPr>
                <w:lang w:val="en-NZ"/>
              </w:rPr>
            </w:pPr>
            <w:r w:rsidRPr="00AE2198">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E2198">
            <w:pPr>
              <w:pStyle w:val="ListBullet"/>
              <w:rPr>
                <w:lang w:val="en-NZ"/>
              </w:rPr>
            </w:pPr>
            <w:r w:rsidRPr="00AE2198">
              <w:t xml:space="preserve">that prescribed under legislation, regulations and enterprise policies and practices </w:t>
            </w:r>
          </w:p>
        </w:tc>
      </w:tr>
      <w:tr w:rsidTr="00AE21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E2198" w:rsidP="00AE2198">
            <w:pPr>
              <w:pStyle w:val="BodyText"/>
            </w:pPr>
            <w:r w:rsidRPr="00AE2198">
              <w:rPr>
                <w:rStyle w:val="SpecialBold"/>
              </w:rPr>
              <w:t>Information and procedures include:</w:t>
            </w:r>
          </w:p>
          <w:p w:rsidR="00000000" w:rsidP="00AE219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E2198" w:rsidP="00AE2198">
            <w:pPr>
              <w:pStyle w:val="ListBullet"/>
            </w:pPr>
            <w:r w:rsidRPr="00AE2198">
              <w:t xml:space="preserve">workplace procedures relating to the use of tools and equipment </w:t>
            </w:r>
          </w:p>
          <w:p w:rsidR="00000000" w:rsidRPr="00AE2198" w:rsidP="00AE2198">
            <w:pPr>
              <w:pStyle w:val="ListBullet"/>
            </w:pPr>
            <w:r w:rsidRPr="00AE2198">
              <w:t>work instructions, including job sheets, cutting lists, plans, dra</w:t>
            </w:r>
            <w:r w:rsidRPr="00AE2198">
              <w:t xml:space="preserve">wings and designs </w:t>
            </w:r>
          </w:p>
          <w:p w:rsidR="00000000" w:rsidRPr="00AE2198" w:rsidP="00AE2198">
            <w:pPr>
              <w:pStyle w:val="ListBullet"/>
            </w:pPr>
            <w:r w:rsidRPr="00AE2198">
              <w:t xml:space="preserve">workplace procedures relating to reporting and communication </w:t>
            </w:r>
          </w:p>
          <w:p w:rsidR="00000000" w:rsidRPr="00AE2198" w:rsidP="00AE2198">
            <w:pPr>
              <w:pStyle w:val="ListBullet"/>
            </w:pPr>
            <w:r w:rsidRPr="00AE2198">
              <w:t xml:space="preserve">manufacturer specifications and operational procedures </w:t>
            </w:r>
          </w:p>
        </w:tc>
      </w:tr>
    </w:tbl>
    <w:p w:rsidR="00000000" w:rsidRPr="00AE2198" w:rsidP="00AE2198">
      <w:pPr>
        <w:pStyle w:val="BodyText"/>
      </w:pPr>
    </w:p>
    <w:p w:rsidR="00000000" w:rsidRPr="00AE2198" w:rsidP="00AE2198">
      <w:pPr>
        <w:pStyle w:val="AllowPageBreak"/>
      </w:pPr>
    </w:p>
    <w:p w:rsidR="00000000" w:rsidRPr="00AE2198" w:rsidP="00AE2198">
      <w:pPr>
        <w:pStyle w:val="Heading1"/>
      </w:pPr>
      <w:bookmarkStart w:id="9" w:name="O_631151"/>
      <w:bookmarkEnd w:id="9"/>
      <w:r w:rsidRPr="00AE2198">
        <w:t>Unit Mapping Information</w:t>
      </w:r>
    </w:p>
    <w:p w:rsidR="00000000" w:rsidRPr="00AE2198" w:rsidP="00B54F53">
      <w:pPr>
        <w:pStyle w:val="BodyText"/>
      </w:pPr>
      <w:r w:rsidRPr="00AE2198">
        <w:t>Supersedes and is equivalent to LMFFF2006B Apply surface coatings by spray gun</w:t>
      </w:r>
    </w:p>
    <w:p w:rsidR="00000000" w:rsidRPr="00AE2198" w:rsidP="00AE2198">
      <w:pPr>
        <w:pStyle w:val="Heading1"/>
      </w:pPr>
      <w:bookmarkStart w:id="10" w:name="O_631144"/>
      <w:bookmarkEnd w:id="10"/>
      <w:r w:rsidRPr="00AE2198">
        <w:t>Links</w:t>
      </w:r>
    </w:p>
    <w:p w:rsidR="00000000" w:rsidRPr="00AE2198" w:rsidP="00B54F53">
      <w:pPr>
        <w:pStyle w:val="BodyText"/>
      </w:pPr>
      <w:r w:rsidRPr="00AE219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C0905">
        <w:rPr>
          <w:rStyle w:val="Hyperlink"/>
        </w:rPr>
        <w:t>https://vetnet.gov.au/Pages/TrainingDocs.aspx?q=0601ab95-583a-4e93-b2d4-cfb27b03ed73</w:t>
      </w:r>
      <w:r>
        <w:fldChar w:fldCharType="end"/>
      </w:r>
    </w:p>
    <w:p w:rsidR="00000000" w:rsidRPr="00AE2198" w:rsidP="00AE2198"/>
    <w:sectPr w:rsidSect="00AE21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1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198" w:rsidRPr="00B54F53" w:rsidP="00B54F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1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F53" w:rsidP="00AE21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4F53" w:rsidP="00AE219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B54F53" w:rsidP="00AE21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1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F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2198" w:rsidRPr="00B54F53" w:rsidP="00B54F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1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F53" w:rsidRPr="002D2AF8" w:rsidP="00AE2198">
    <w:pPr>
      <w:pStyle w:val="Header"/>
      <w:framePr w:wrap="around"/>
    </w:pPr>
    <w:r>
      <w:fldChar w:fldCharType="begin"/>
    </w:r>
    <w:r>
      <w:instrText xml:space="preserve"> TITLE   \* MERGEFORMAT </w:instrText>
    </w:r>
    <w:r>
      <w:fldChar w:fldCharType="separate"/>
    </w:r>
    <w:r>
      <w:t>MSFFF2006 Apply surface coatings by spray gun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B54F53" w:rsidP="00AE21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885E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8073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1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2198"/>
    <w:pPr>
      <w:spacing w:before="360" w:after="60"/>
      <w:outlineLvl w:val="0"/>
    </w:pPr>
    <w:rPr>
      <w:sz w:val="32"/>
    </w:rPr>
  </w:style>
  <w:style w:type="paragraph" w:styleId="Heading2">
    <w:name w:val="heading 2"/>
    <w:basedOn w:val="HeadingBase"/>
    <w:next w:val="BodyText"/>
    <w:link w:val="Heading2Char"/>
    <w:qFormat/>
    <w:rsid w:val="00AE2198"/>
    <w:pPr>
      <w:keepLines/>
      <w:spacing w:before="240" w:after="120"/>
      <w:outlineLvl w:val="1"/>
    </w:pPr>
    <w:rPr>
      <w:sz w:val="28"/>
      <w:szCs w:val="40"/>
    </w:rPr>
  </w:style>
  <w:style w:type="paragraph" w:styleId="Heading3">
    <w:name w:val="heading 3"/>
    <w:basedOn w:val="HeadingBase"/>
    <w:next w:val="BodyText"/>
    <w:link w:val="Heading3Char"/>
    <w:qFormat/>
    <w:rsid w:val="00AE2198"/>
    <w:pPr>
      <w:spacing w:before="180" w:after="120"/>
      <w:outlineLvl w:val="2"/>
    </w:pPr>
    <w:rPr>
      <w:spacing w:val="-10"/>
      <w:kern w:val="32"/>
    </w:rPr>
  </w:style>
  <w:style w:type="paragraph" w:styleId="Heading4">
    <w:name w:val="heading 4"/>
    <w:basedOn w:val="HeadingBase"/>
    <w:next w:val="BodyText"/>
    <w:link w:val="Heading4Char"/>
    <w:qFormat/>
    <w:rsid w:val="00AE2198"/>
    <w:pPr>
      <w:spacing w:before="160" w:after="120"/>
      <w:outlineLvl w:val="3"/>
    </w:pPr>
    <w:rPr>
      <w:sz w:val="22"/>
    </w:rPr>
  </w:style>
  <w:style w:type="paragraph" w:styleId="Heading5">
    <w:name w:val="heading 5"/>
    <w:basedOn w:val="HeadingBase"/>
    <w:next w:val="Normal"/>
    <w:link w:val="Heading5Char"/>
    <w:qFormat/>
    <w:rsid w:val="00AE2198"/>
    <w:pPr>
      <w:spacing w:before="80"/>
      <w:outlineLvl w:val="4"/>
    </w:pPr>
    <w:rPr>
      <w:color w:val="918585"/>
      <w:sz w:val="20"/>
    </w:rPr>
  </w:style>
  <w:style w:type="paragraph" w:styleId="Heading6">
    <w:name w:val="heading 6"/>
    <w:basedOn w:val="HeadingBase"/>
    <w:next w:val="Normal"/>
    <w:link w:val="Heading6Char"/>
    <w:qFormat/>
    <w:rsid w:val="00AE2198"/>
    <w:pPr>
      <w:spacing w:before="60"/>
      <w:outlineLvl w:val="5"/>
    </w:pPr>
    <w:rPr>
      <w:color w:val="918585"/>
      <w:sz w:val="20"/>
    </w:rPr>
  </w:style>
  <w:style w:type="paragraph" w:styleId="Heading7">
    <w:name w:val="heading 7"/>
    <w:basedOn w:val="Normal"/>
    <w:next w:val="Normal"/>
    <w:link w:val="Heading7Char"/>
    <w:qFormat/>
    <w:rsid w:val="00AE2198"/>
    <w:pPr>
      <w:ind w:left="720"/>
      <w:outlineLvl w:val="6"/>
    </w:pPr>
    <w:rPr>
      <w:i/>
    </w:rPr>
  </w:style>
  <w:style w:type="paragraph" w:styleId="Heading8">
    <w:name w:val="heading 8"/>
    <w:basedOn w:val="Normal"/>
    <w:next w:val="Normal"/>
    <w:link w:val="Heading8Char"/>
    <w:qFormat/>
    <w:rsid w:val="00AE2198"/>
    <w:pPr>
      <w:ind w:left="720"/>
      <w:outlineLvl w:val="7"/>
    </w:pPr>
    <w:rPr>
      <w:i/>
    </w:rPr>
  </w:style>
  <w:style w:type="paragraph" w:styleId="Heading9">
    <w:name w:val="heading 9"/>
    <w:basedOn w:val="Normal"/>
    <w:next w:val="Normal"/>
    <w:link w:val="Heading9Char"/>
    <w:qFormat/>
    <w:rsid w:val="00AE2198"/>
    <w:pPr>
      <w:ind w:left="720"/>
      <w:outlineLvl w:val="8"/>
    </w:pPr>
    <w:rPr>
      <w:i/>
    </w:rPr>
  </w:style>
  <w:style w:type="character" w:default="1" w:styleId="DefaultParagraphFont">
    <w:name w:val="Default Paragraph Font"/>
    <w:uiPriority w:val="1"/>
    <w:unhideWhenUsed/>
    <w:rsid w:val="00AE21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2198"/>
  </w:style>
  <w:style w:type="character" w:customStyle="1" w:styleId="Heading1Char">
    <w:name w:val="Heading 1 Char"/>
    <w:basedOn w:val="DefaultParagraphFont"/>
    <w:link w:val="Heading1"/>
    <w:rsid w:val="00AE2198"/>
    <w:rPr>
      <w:rFonts w:ascii="Times New Roman" w:eastAsia="Times New Roman" w:hAnsi="Times New Roman" w:cs="Times New Roman"/>
      <w:b/>
      <w:sz w:val="32"/>
      <w:szCs w:val="20"/>
      <w:lang w:eastAsia="en-US"/>
    </w:rPr>
  </w:style>
  <w:style w:type="paragraph" w:styleId="BodyText">
    <w:name w:val="Body Text"/>
    <w:basedOn w:val="Normal"/>
    <w:link w:val="BodyTextChar"/>
    <w:rsid w:val="00AE21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2198"/>
    <w:rPr>
      <w:rFonts w:ascii="Times New Roman" w:eastAsia="Times New Roman" w:hAnsi="Times New Roman" w:cs="Times New Roman"/>
      <w:sz w:val="24"/>
      <w:lang w:eastAsia="en-US"/>
    </w:rPr>
  </w:style>
  <w:style w:type="paragraph" w:styleId="ListBullet">
    <w:name w:val="List Bullet"/>
    <w:basedOn w:val="List"/>
    <w:rsid w:val="00AE2198"/>
    <w:pPr>
      <w:numPr>
        <w:numId w:val="11"/>
      </w:numPr>
      <w:tabs>
        <w:tab w:val="clear" w:pos="340"/>
      </w:tabs>
      <w:spacing w:before="40" w:after="40"/>
    </w:pPr>
  </w:style>
  <w:style w:type="character" w:customStyle="1" w:styleId="SpecialBold">
    <w:name w:val="Special Bold"/>
    <w:basedOn w:val="DefaultParagraphFont"/>
    <w:rsid w:val="00AE2198"/>
    <w:rPr>
      <w:b/>
      <w:spacing w:val="0"/>
    </w:rPr>
  </w:style>
  <w:style w:type="paragraph" w:customStyle="1" w:styleId="SuperHeading">
    <w:name w:val="SuperHeading"/>
    <w:basedOn w:val="Normal"/>
    <w:rsid w:val="00AE2198"/>
    <w:pPr>
      <w:spacing w:before="240" w:after="120"/>
      <w:outlineLvl w:val="0"/>
    </w:pPr>
    <w:rPr>
      <w:rFonts w:ascii="Times New Roman" w:hAnsi="Times New Roman"/>
      <w:b/>
      <w:sz w:val="32"/>
    </w:rPr>
  </w:style>
  <w:style w:type="paragraph" w:customStyle="1" w:styleId="AllowPageBreak">
    <w:name w:val="AllowPageBreak"/>
    <w:rsid w:val="00AE21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21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21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21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21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21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21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21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2198"/>
    <w:rPr>
      <w:rFonts w:ascii="Courier New" w:eastAsia="Times New Roman" w:hAnsi="Courier New" w:cs="Times New Roman"/>
      <w:i/>
      <w:szCs w:val="20"/>
      <w:lang w:eastAsia="en-US"/>
    </w:rPr>
  </w:style>
  <w:style w:type="paragraph" w:customStyle="1" w:styleId="HeadingBase">
    <w:name w:val="Heading Base"/>
    <w:rsid w:val="00AE21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2198"/>
    <w:pPr>
      <w:tabs>
        <w:tab w:val="right" w:leader="dot" w:pos="9072"/>
      </w:tabs>
      <w:ind w:left="567"/>
    </w:pPr>
    <w:rPr>
      <w:szCs w:val="22"/>
    </w:rPr>
  </w:style>
  <w:style w:type="paragraph" w:customStyle="1" w:styleId="TOCBase">
    <w:name w:val="TOC Base"/>
    <w:rsid w:val="00AE21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2198"/>
    <w:pPr>
      <w:tabs>
        <w:tab w:val="right" w:leader="dot" w:pos="9072"/>
      </w:tabs>
      <w:spacing w:before="40" w:after="40"/>
      <w:ind w:left="284"/>
    </w:pPr>
    <w:rPr>
      <w:rFonts w:ascii="Times New Roman" w:hAnsi="Times New Roman"/>
    </w:rPr>
  </w:style>
  <w:style w:type="paragraph" w:styleId="TOC1">
    <w:name w:val="toc 1"/>
    <w:basedOn w:val="TOCBase"/>
    <w:next w:val="Normal"/>
    <w:rsid w:val="00AE21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21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2198"/>
    <w:rPr>
      <w:rFonts w:ascii="Times New Roman" w:eastAsia="Times New Roman" w:hAnsi="Times New Roman" w:cs="Times New Roman"/>
      <w:sz w:val="16"/>
      <w:lang w:eastAsia="en-US"/>
    </w:rPr>
  </w:style>
  <w:style w:type="paragraph" w:styleId="Title">
    <w:name w:val="Title"/>
    <w:basedOn w:val="HeadingBase"/>
    <w:link w:val="TitleChar"/>
    <w:qFormat/>
    <w:rsid w:val="00AE2198"/>
    <w:pPr>
      <w:spacing w:before="5040"/>
      <w:jc w:val="center"/>
    </w:pPr>
    <w:rPr>
      <w:sz w:val="48"/>
      <w:szCs w:val="72"/>
      <w:lang w:val="en-US"/>
    </w:rPr>
  </w:style>
  <w:style w:type="character" w:customStyle="1" w:styleId="TitleChar">
    <w:name w:val="Title Char"/>
    <w:basedOn w:val="DefaultParagraphFont"/>
    <w:link w:val="Title"/>
    <w:rsid w:val="00AE21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2198"/>
    <w:pPr>
      <w:tabs>
        <w:tab w:val="left" w:pos="3600"/>
        <w:tab w:val="left" w:pos="3958"/>
      </w:tabs>
    </w:pPr>
  </w:style>
  <w:style w:type="paragraph" w:styleId="List">
    <w:name w:val="List"/>
    <w:basedOn w:val="BodyText"/>
    <w:next w:val="BodyText"/>
    <w:rsid w:val="00AE2198"/>
    <w:pPr>
      <w:tabs>
        <w:tab w:val="left" w:pos="340"/>
      </w:tabs>
      <w:spacing w:before="60" w:after="60"/>
      <w:ind w:left="340" w:hanging="340"/>
    </w:pPr>
  </w:style>
  <w:style w:type="paragraph" w:customStyle="1" w:styleId="Note">
    <w:name w:val="Note"/>
    <w:basedOn w:val="BodyText"/>
    <w:rsid w:val="00AE21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2198"/>
    <w:pPr>
      <w:framePr w:wrap="auto" w:hAnchor="text" w:y="6049"/>
    </w:pPr>
    <w:rPr>
      <w:color w:val="000000"/>
      <w:sz w:val="40"/>
    </w:rPr>
  </w:style>
  <w:style w:type="paragraph" w:customStyle="1" w:styleId="TOCTitle">
    <w:name w:val="TOCTitle"/>
    <w:basedOn w:val="Heading1"/>
    <w:rsid w:val="00AE2198"/>
    <w:pPr>
      <w:spacing w:after="240"/>
      <w:jc w:val="center"/>
      <w:outlineLvl w:val="9"/>
    </w:pPr>
    <w:rPr>
      <w:caps/>
    </w:rPr>
  </w:style>
  <w:style w:type="paragraph" w:customStyle="1" w:styleId="Version">
    <w:name w:val="Version"/>
    <w:rsid w:val="00AE21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2198"/>
    <w:pPr>
      <w:numPr>
        <w:numId w:val="12"/>
      </w:numPr>
      <w:tabs>
        <w:tab w:val="clear" w:pos="680"/>
      </w:tabs>
    </w:pPr>
  </w:style>
  <w:style w:type="paragraph" w:styleId="Index1">
    <w:name w:val="index 1"/>
    <w:basedOn w:val="Normal"/>
    <w:next w:val="Normal"/>
    <w:semiHidden/>
    <w:rsid w:val="00AE2198"/>
    <w:pPr>
      <w:keepNext w:val="0"/>
      <w:tabs>
        <w:tab w:val="right" w:pos="4176"/>
      </w:tabs>
      <w:ind w:left="198" w:hanging="198"/>
    </w:pPr>
    <w:rPr>
      <w:rFonts w:ascii="Garamond" w:hAnsi="Garamond"/>
    </w:rPr>
  </w:style>
  <w:style w:type="paragraph" w:styleId="IndexHeading">
    <w:name w:val="index heading"/>
    <w:basedOn w:val="Normal"/>
    <w:next w:val="Index1"/>
    <w:semiHidden/>
    <w:rsid w:val="00AE2198"/>
    <w:pPr>
      <w:spacing w:before="120" w:after="120"/>
    </w:pPr>
    <w:rPr>
      <w:rFonts w:ascii="Arial" w:hAnsi="Arial"/>
      <w:b/>
      <w:color w:val="918585"/>
      <w:sz w:val="24"/>
    </w:rPr>
  </w:style>
  <w:style w:type="paragraph" w:styleId="Header">
    <w:name w:val="header"/>
    <w:basedOn w:val="Normal"/>
    <w:link w:val="HeaderChar"/>
    <w:rsid w:val="00AE21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2198"/>
    <w:rPr>
      <w:rFonts w:ascii="Times New Roman" w:eastAsia="Times New Roman" w:hAnsi="Times New Roman" w:cs="Times New Roman"/>
      <w:sz w:val="16"/>
      <w:szCs w:val="20"/>
      <w:lang w:val="en-GB" w:eastAsia="en-US"/>
    </w:rPr>
  </w:style>
  <w:style w:type="paragraph" w:customStyle="1" w:styleId="Chapter">
    <w:name w:val="Chapter"/>
    <w:basedOn w:val="Normal"/>
    <w:rsid w:val="00AE2198"/>
    <w:pPr>
      <w:spacing w:before="240"/>
    </w:pPr>
    <w:rPr>
      <w:rFonts w:ascii="Times New Roman" w:hAnsi="Times New Roman"/>
      <w:smallCaps/>
      <w:spacing w:val="80"/>
      <w:sz w:val="28"/>
    </w:rPr>
  </w:style>
  <w:style w:type="paragraph" w:customStyle="1" w:styleId="InChapter">
    <w:name w:val="InChapter"/>
    <w:basedOn w:val="Heading3"/>
    <w:rsid w:val="00AE2198"/>
    <w:pPr>
      <w:spacing w:after="240"/>
      <w:outlineLvl w:val="9"/>
    </w:pPr>
    <w:rPr>
      <w:noProof/>
    </w:rPr>
  </w:style>
  <w:style w:type="paragraph" w:styleId="Index2">
    <w:name w:val="index 2"/>
    <w:basedOn w:val="Normal"/>
    <w:next w:val="Normal"/>
    <w:semiHidden/>
    <w:rsid w:val="00AE2198"/>
    <w:pPr>
      <w:tabs>
        <w:tab w:val="right" w:pos="4176"/>
      </w:tabs>
      <w:ind w:left="568" w:hanging="284"/>
    </w:pPr>
    <w:rPr>
      <w:rFonts w:ascii="Garamond" w:hAnsi="Garamond"/>
    </w:rPr>
  </w:style>
  <w:style w:type="paragraph" w:customStyle="1" w:styleId="Byline">
    <w:name w:val="Byline"/>
    <w:rsid w:val="00AE21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2198"/>
    <w:pPr>
      <w:tabs>
        <w:tab w:val="clear" w:pos="3600"/>
        <w:tab w:val="clear" w:pos="3958"/>
      </w:tabs>
      <w:jc w:val="right"/>
    </w:pPr>
  </w:style>
  <w:style w:type="character" w:styleId="Emphasis">
    <w:name w:val="Emphasis"/>
    <w:basedOn w:val="DefaultParagraphFont"/>
    <w:qFormat/>
    <w:rsid w:val="00AE2198"/>
    <w:rPr>
      <w:i/>
    </w:rPr>
  </w:style>
  <w:style w:type="paragraph" w:styleId="Caption">
    <w:name w:val="caption"/>
    <w:basedOn w:val="BodyText"/>
    <w:next w:val="Normal"/>
    <w:qFormat/>
    <w:rsid w:val="00AE2198"/>
    <w:pPr>
      <w:framePr w:w="2268" w:hSpace="181" w:vSpace="181" w:wrap="around" w:vAnchor="text" w:hAnchor="page" w:x="1135" w:y="285" w:anchorLock="1"/>
    </w:pPr>
    <w:rPr>
      <w:i/>
    </w:rPr>
  </w:style>
  <w:style w:type="paragraph" w:customStyle="1" w:styleId="MiniTOCTitle">
    <w:name w:val="MiniTOCTitle"/>
    <w:basedOn w:val="Heading4"/>
    <w:rsid w:val="00AE2198"/>
    <w:pPr>
      <w:spacing w:before="240"/>
      <w:outlineLvl w:val="9"/>
    </w:pPr>
    <w:rPr>
      <w:noProof/>
      <w:sz w:val="24"/>
    </w:rPr>
  </w:style>
  <w:style w:type="paragraph" w:customStyle="1" w:styleId="MiniTOCItem">
    <w:name w:val="MiniTOCItem"/>
    <w:basedOn w:val="ListBullet"/>
    <w:rsid w:val="00AE2198"/>
    <w:pPr>
      <w:numPr>
        <w:numId w:val="0"/>
      </w:numPr>
      <w:tabs>
        <w:tab w:val="right" w:leader="dot" w:pos="6521"/>
      </w:tabs>
      <w:spacing w:before="0" w:after="0"/>
    </w:pPr>
  </w:style>
  <w:style w:type="paragraph" w:customStyle="1" w:styleId="TOFTitle">
    <w:name w:val="TOFTitle"/>
    <w:basedOn w:val="TOCTitle"/>
    <w:rsid w:val="00AE2198"/>
  </w:style>
  <w:style w:type="paragraph" w:styleId="TableofFigures">
    <w:name w:val="table of figures"/>
    <w:basedOn w:val="Normal"/>
    <w:next w:val="Normal"/>
    <w:semiHidden/>
    <w:rsid w:val="00AE2198"/>
    <w:pPr>
      <w:tabs>
        <w:tab w:val="right" w:leader="dot" w:pos="9072"/>
      </w:tabs>
      <w:ind w:left="970" w:hanging="403"/>
    </w:pPr>
    <w:rPr>
      <w:rFonts w:ascii="Times New Roman" w:hAnsi="Times New Roman"/>
      <w:b/>
    </w:rPr>
  </w:style>
  <w:style w:type="paragraph" w:styleId="ListNumber">
    <w:name w:val="List Number"/>
    <w:basedOn w:val="List"/>
    <w:rsid w:val="00AE2198"/>
    <w:pPr>
      <w:numPr>
        <w:numId w:val="14"/>
      </w:numPr>
      <w:tabs>
        <w:tab w:val="clear" w:pos="340"/>
      </w:tabs>
    </w:pPr>
  </w:style>
  <w:style w:type="character" w:customStyle="1" w:styleId="WingdingSymbols">
    <w:name w:val="Wingding Symbols"/>
    <w:rsid w:val="00AE2198"/>
    <w:rPr>
      <w:rFonts w:ascii="Wingdings" w:hAnsi="Wingdings"/>
    </w:rPr>
  </w:style>
  <w:style w:type="paragraph" w:customStyle="1" w:styleId="TableHeading">
    <w:name w:val="Table Heading"/>
    <w:basedOn w:val="HeadingBase"/>
    <w:rsid w:val="00AE2198"/>
    <w:pPr>
      <w:keepLines/>
      <w:pBdr>
        <w:bottom w:val="single" w:sz="6" w:space="1" w:color="918585"/>
      </w:pBdr>
      <w:spacing w:before="240"/>
    </w:pPr>
  </w:style>
  <w:style w:type="character" w:customStyle="1" w:styleId="HotSpot">
    <w:name w:val="HotSpot"/>
    <w:rsid w:val="00AE2198"/>
    <w:rPr>
      <w:color w:val="0033CC"/>
      <w:u w:val="none"/>
    </w:rPr>
  </w:style>
  <w:style w:type="paragraph" w:customStyle="1" w:styleId="BodyTextRight">
    <w:name w:val="Body Text Right"/>
    <w:basedOn w:val="BodyText"/>
    <w:rsid w:val="00AE2198"/>
    <w:pPr>
      <w:spacing w:before="0" w:after="0"/>
      <w:jc w:val="right"/>
    </w:pPr>
  </w:style>
  <w:style w:type="paragraph" w:styleId="Index3">
    <w:name w:val="index 3"/>
    <w:basedOn w:val="ListNumber2"/>
    <w:next w:val="Normal"/>
    <w:semiHidden/>
    <w:rsid w:val="00AE2198"/>
    <w:pPr>
      <w:numPr>
        <w:numId w:val="0"/>
      </w:numPr>
      <w:tabs>
        <w:tab w:val="right" w:leader="dot" w:pos="4176"/>
      </w:tabs>
    </w:pPr>
  </w:style>
  <w:style w:type="paragraph" w:styleId="ListNumber2">
    <w:name w:val="List Number 2"/>
    <w:basedOn w:val="List2"/>
    <w:rsid w:val="00AE2198"/>
    <w:pPr>
      <w:numPr>
        <w:numId w:val="9"/>
      </w:numPr>
      <w:tabs>
        <w:tab w:val="clear" w:pos="1060"/>
      </w:tabs>
    </w:pPr>
  </w:style>
  <w:style w:type="paragraph" w:customStyle="1" w:styleId="MarginNote">
    <w:name w:val="Margin Note"/>
    <w:basedOn w:val="BodyText"/>
    <w:rsid w:val="00AE21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21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21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2198"/>
    <w:rPr>
      <w:sz w:val="32"/>
    </w:rPr>
  </w:style>
  <w:style w:type="paragraph" w:customStyle="1" w:styleId="HeadingProcedure">
    <w:name w:val="Heading Procedure"/>
    <w:basedOn w:val="HeadingBase"/>
    <w:next w:val="Normal"/>
    <w:rsid w:val="00AE2198"/>
    <w:pPr>
      <w:tabs>
        <w:tab w:val="left" w:pos="0"/>
      </w:tabs>
      <w:spacing w:before="120" w:after="60"/>
    </w:pPr>
    <w:rPr>
      <w:i/>
      <w:color w:val="918585"/>
      <w:sz w:val="22"/>
    </w:rPr>
  </w:style>
  <w:style w:type="paragraph" w:customStyle="1" w:styleId="TableBodyText">
    <w:name w:val="Table Body Text"/>
    <w:basedOn w:val="BodyText"/>
    <w:rsid w:val="00AE2198"/>
    <w:pPr>
      <w:spacing w:before="60" w:after="60"/>
    </w:pPr>
  </w:style>
  <w:style w:type="paragraph" w:styleId="ListContinue">
    <w:name w:val="List Continue"/>
    <w:basedOn w:val="List"/>
    <w:rsid w:val="00AE2198"/>
    <w:pPr>
      <w:ind w:firstLine="0"/>
    </w:pPr>
  </w:style>
  <w:style w:type="paragraph" w:customStyle="1" w:styleId="ListNote">
    <w:name w:val="List Note"/>
    <w:basedOn w:val="List"/>
    <w:rsid w:val="00AE2198"/>
    <w:pPr>
      <w:pBdr>
        <w:top w:val="single" w:sz="6" w:space="2" w:color="918585"/>
        <w:bottom w:val="single" w:sz="6" w:space="2" w:color="918585"/>
      </w:pBdr>
      <w:tabs>
        <w:tab w:val="left" w:pos="1021"/>
      </w:tabs>
      <w:ind w:firstLine="0"/>
    </w:pPr>
  </w:style>
  <w:style w:type="paragraph" w:customStyle="1" w:styleId="Warning">
    <w:name w:val="Warning"/>
    <w:basedOn w:val="BodyText"/>
    <w:rsid w:val="00AE2198"/>
    <w:pPr>
      <w:shd w:val="clear" w:color="auto" w:fill="D9D9D9"/>
      <w:tabs>
        <w:tab w:val="left" w:pos="992"/>
      </w:tabs>
      <w:ind w:left="119" w:right="119"/>
    </w:pPr>
    <w:rPr>
      <w:sz w:val="20"/>
    </w:rPr>
  </w:style>
  <w:style w:type="paragraph" w:customStyle="1" w:styleId="MarginIcons">
    <w:name w:val="Margin Icons"/>
    <w:basedOn w:val="BodyText"/>
    <w:rsid w:val="00AE21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2198"/>
    <w:rPr>
      <w:rFonts w:ascii="Courier New" w:hAnsi="Courier New"/>
    </w:rPr>
  </w:style>
  <w:style w:type="paragraph" w:customStyle="1" w:styleId="NoteBullet">
    <w:name w:val="Note Bullet"/>
    <w:basedOn w:val="Note"/>
    <w:rsid w:val="00AE2198"/>
    <w:pPr>
      <w:tabs>
        <w:tab w:val="clear" w:pos="680"/>
      </w:tabs>
      <w:spacing w:before="60" w:after="60"/>
    </w:pPr>
  </w:style>
  <w:style w:type="paragraph" w:customStyle="1" w:styleId="SubHeading2">
    <w:name w:val="SubHeading2"/>
    <w:basedOn w:val="HeadingBase"/>
    <w:rsid w:val="00AE2198"/>
    <w:pPr>
      <w:spacing w:before="240" w:after="60"/>
    </w:pPr>
    <w:rPr>
      <w:sz w:val="20"/>
    </w:rPr>
  </w:style>
  <w:style w:type="paragraph" w:customStyle="1" w:styleId="SubHeading1">
    <w:name w:val="SubHeading1"/>
    <w:basedOn w:val="HeadingBase"/>
    <w:rsid w:val="00AE2198"/>
    <w:pPr>
      <w:spacing w:before="240" w:after="60"/>
    </w:pPr>
    <w:rPr>
      <w:color w:val="918585"/>
      <w:sz w:val="22"/>
    </w:rPr>
  </w:style>
  <w:style w:type="paragraph" w:customStyle="1" w:styleId="SideHeading">
    <w:name w:val="Side Heading"/>
    <w:basedOn w:val="HeadingBase"/>
    <w:rsid w:val="00AE21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2198"/>
    <w:pPr>
      <w:numPr>
        <w:numId w:val="10"/>
      </w:numPr>
    </w:pPr>
  </w:style>
  <w:style w:type="paragraph" w:styleId="PlainText">
    <w:name w:val="Plain Text"/>
    <w:basedOn w:val="Normal"/>
    <w:link w:val="PlainTextChar"/>
    <w:rsid w:val="00AE2198"/>
    <w:rPr>
      <w:sz w:val="20"/>
    </w:rPr>
  </w:style>
  <w:style w:type="character" w:customStyle="1" w:styleId="PlainTextChar">
    <w:name w:val="Plain Text Char"/>
    <w:basedOn w:val="DefaultParagraphFont"/>
    <w:link w:val="PlainText"/>
    <w:rsid w:val="00AE2198"/>
    <w:rPr>
      <w:rFonts w:ascii="Courier New" w:eastAsia="Times New Roman" w:hAnsi="Courier New" w:cs="Times New Roman"/>
      <w:sz w:val="20"/>
      <w:szCs w:val="20"/>
      <w:lang w:eastAsia="en-US"/>
    </w:rPr>
  </w:style>
  <w:style w:type="character" w:customStyle="1" w:styleId="MenuOption">
    <w:name w:val="Menu Option"/>
    <w:basedOn w:val="DefaultParagraphFont"/>
    <w:rsid w:val="00AE2198"/>
    <w:rPr>
      <w:b/>
      <w:smallCaps/>
    </w:rPr>
  </w:style>
  <w:style w:type="paragraph" w:customStyle="1" w:styleId="TableListNumber">
    <w:name w:val="Table List Number"/>
    <w:basedOn w:val="ListNumber"/>
    <w:rsid w:val="00AE2198"/>
    <w:pPr>
      <w:numPr>
        <w:numId w:val="0"/>
      </w:numPr>
    </w:pPr>
  </w:style>
  <w:style w:type="paragraph" w:styleId="TOC4">
    <w:name w:val="toc 4"/>
    <w:basedOn w:val="TOCBase"/>
    <w:next w:val="Normal"/>
    <w:semiHidden/>
    <w:rsid w:val="00AE2198"/>
    <w:pPr>
      <w:tabs>
        <w:tab w:val="right" w:leader="dot" w:pos="9071"/>
      </w:tabs>
      <w:ind w:left="1701"/>
    </w:pPr>
  </w:style>
  <w:style w:type="paragraph" w:customStyle="1" w:styleId="ListAlpha">
    <w:name w:val="List Alpha"/>
    <w:basedOn w:val="List"/>
    <w:rsid w:val="00AE2198"/>
    <w:pPr>
      <w:numPr>
        <w:numId w:val="8"/>
      </w:numPr>
    </w:pPr>
  </w:style>
  <w:style w:type="paragraph" w:customStyle="1" w:styleId="ListAlpha2">
    <w:name w:val="List Alpha 2"/>
    <w:basedOn w:val="List2"/>
    <w:rsid w:val="00AE2198"/>
    <w:pPr>
      <w:numPr>
        <w:numId w:val="7"/>
      </w:numPr>
    </w:pPr>
  </w:style>
  <w:style w:type="paragraph" w:styleId="List2">
    <w:name w:val="List 2"/>
    <w:basedOn w:val="BodyText"/>
    <w:rsid w:val="00AE2198"/>
    <w:pPr>
      <w:tabs>
        <w:tab w:val="left" w:pos="680"/>
      </w:tabs>
      <w:spacing w:before="60" w:after="60"/>
      <w:ind w:left="680" w:hanging="340"/>
    </w:pPr>
  </w:style>
  <w:style w:type="paragraph" w:styleId="List3">
    <w:name w:val="List 3"/>
    <w:basedOn w:val="BodyText"/>
    <w:rsid w:val="00AE2198"/>
    <w:pPr>
      <w:tabs>
        <w:tab w:val="left" w:pos="1021"/>
      </w:tabs>
      <w:spacing w:before="60" w:after="60"/>
      <w:ind w:left="1020" w:hanging="340"/>
    </w:pPr>
  </w:style>
  <w:style w:type="paragraph" w:styleId="List4">
    <w:name w:val="List 4"/>
    <w:basedOn w:val="BodyText"/>
    <w:rsid w:val="00AE2198"/>
    <w:pPr>
      <w:tabs>
        <w:tab w:val="left" w:pos="1361"/>
      </w:tabs>
      <w:spacing w:before="60" w:after="60"/>
      <w:ind w:left="1361" w:hanging="340"/>
    </w:pPr>
  </w:style>
  <w:style w:type="paragraph" w:styleId="List5">
    <w:name w:val="List 5"/>
    <w:basedOn w:val="BodyText"/>
    <w:rsid w:val="00AE2198"/>
    <w:pPr>
      <w:tabs>
        <w:tab w:val="left" w:pos="1701"/>
      </w:tabs>
      <w:spacing w:before="60" w:after="60"/>
      <w:ind w:left="1701" w:hanging="340"/>
    </w:pPr>
  </w:style>
  <w:style w:type="paragraph" w:styleId="ListBullet3">
    <w:name w:val="List Bullet 3"/>
    <w:basedOn w:val="List3"/>
    <w:rsid w:val="00AE2198"/>
    <w:pPr>
      <w:numPr>
        <w:numId w:val="13"/>
      </w:numPr>
      <w:tabs>
        <w:tab w:val="clear" w:pos="1021"/>
      </w:tabs>
      <w:ind w:left="1037" w:hanging="357"/>
    </w:pPr>
  </w:style>
  <w:style w:type="paragraph" w:styleId="ListBullet4">
    <w:name w:val="List Bullet 4"/>
    <w:basedOn w:val="List4"/>
    <w:rsid w:val="00AE2198"/>
    <w:pPr>
      <w:numPr>
        <w:numId w:val="2"/>
      </w:numPr>
      <w:tabs>
        <w:tab w:val="clear" w:pos="1361"/>
      </w:tabs>
    </w:pPr>
  </w:style>
  <w:style w:type="paragraph" w:styleId="ListBullet5">
    <w:name w:val="List Bullet 5"/>
    <w:basedOn w:val="List5"/>
    <w:rsid w:val="00AE2198"/>
    <w:pPr>
      <w:numPr>
        <w:numId w:val="3"/>
      </w:numPr>
    </w:pPr>
  </w:style>
  <w:style w:type="paragraph" w:styleId="ListContinue2">
    <w:name w:val="List Continue 2"/>
    <w:basedOn w:val="List2"/>
    <w:rsid w:val="00AE2198"/>
    <w:pPr>
      <w:ind w:firstLine="0"/>
    </w:pPr>
  </w:style>
  <w:style w:type="paragraph" w:styleId="ListContinue3">
    <w:name w:val="List Continue 3"/>
    <w:basedOn w:val="List3"/>
    <w:rsid w:val="00AE2198"/>
    <w:pPr>
      <w:ind w:left="1021" w:firstLine="0"/>
    </w:pPr>
  </w:style>
  <w:style w:type="paragraph" w:styleId="ListContinue4">
    <w:name w:val="List Continue 4"/>
    <w:basedOn w:val="List4"/>
    <w:rsid w:val="00AE2198"/>
    <w:pPr>
      <w:ind w:firstLine="0"/>
    </w:pPr>
  </w:style>
  <w:style w:type="paragraph" w:styleId="ListContinue5">
    <w:name w:val="List Continue 5"/>
    <w:basedOn w:val="List5"/>
    <w:rsid w:val="00AE2198"/>
    <w:pPr>
      <w:ind w:firstLine="0"/>
    </w:pPr>
  </w:style>
  <w:style w:type="paragraph" w:styleId="ListNumber3">
    <w:name w:val="List Number 3"/>
    <w:basedOn w:val="List3"/>
    <w:rsid w:val="00AE2198"/>
    <w:pPr>
      <w:numPr>
        <w:numId w:val="4"/>
      </w:numPr>
    </w:pPr>
  </w:style>
  <w:style w:type="paragraph" w:styleId="ListNumber4">
    <w:name w:val="List Number 4"/>
    <w:basedOn w:val="List4"/>
    <w:rsid w:val="00AE2198"/>
    <w:pPr>
      <w:numPr>
        <w:numId w:val="5"/>
      </w:numPr>
    </w:pPr>
  </w:style>
  <w:style w:type="paragraph" w:styleId="ListNumber5">
    <w:name w:val="List Number 5"/>
    <w:basedOn w:val="List5"/>
    <w:rsid w:val="00AE2198"/>
    <w:pPr>
      <w:numPr>
        <w:numId w:val="6"/>
      </w:numPr>
    </w:pPr>
  </w:style>
  <w:style w:type="paragraph" w:styleId="BlockText">
    <w:name w:val="Block Text"/>
    <w:basedOn w:val="Normal"/>
    <w:rsid w:val="00AE2198"/>
    <w:pPr>
      <w:spacing w:after="120"/>
      <w:ind w:left="1440" w:right="1440"/>
    </w:pPr>
  </w:style>
  <w:style w:type="character" w:customStyle="1" w:styleId="Subscript">
    <w:name w:val="Subscript"/>
    <w:basedOn w:val="DefaultParagraphFont"/>
    <w:rsid w:val="00AE2198"/>
    <w:rPr>
      <w:sz w:val="16"/>
      <w:vertAlign w:val="subscript"/>
    </w:rPr>
  </w:style>
  <w:style w:type="character" w:customStyle="1" w:styleId="Superscript">
    <w:name w:val="Superscript"/>
    <w:basedOn w:val="DefaultParagraphFont"/>
    <w:rsid w:val="00AE2198"/>
    <w:rPr>
      <w:sz w:val="16"/>
      <w:vertAlign w:val="superscript"/>
    </w:rPr>
  </w:style>
  <w:style w:type="character" w:customStyle="1" w:styleId="Symbols">
    <w:name w:val="Symbols"/>
    <w:basedOn w:val="DefaultParagraphFont"/>
    <w:rsid w:val="00AE2198"/>
    <w:rPr>
      <w:rFonts w:ascii="Symbol" w:hAnsi="Symbol"/>
    </w:rPr>
  </w:style>
  <w:style w:type="character" w:customStyle="1" w:styleId="MenuOptions">
    <w:name w:val="Menu Options"/>
    <w:basedOn w:val="DefaultParagraphFont"/>
    <w:rsid w:val="00AE2198"/>
    <w:rPr>
      <w:rFonts w:ascii="Arial Narrow" w:hAnsi="Arial Narrow"/>
      <w:smallCaps/>
    </w:rPr>
  </w:style>
  <w:style w:type="character" w:customStyle="1" w:styleId="Buttons">
    <w:name w:val="Buttons"/>
    <w:basedOn w:val="DefaultParagraphFont"/>
    <w:rsid w:val="00AE2198"/>
    <w:rPr>
      <w:b/>
    </w:rPr>
  </w:style>
  <w:style w:type="character" w:customStyle="1" w:styleId="Underlined">
    <w:name w:val="Underlined"/>
    <w:basedOn w:val="DefaultParagraphFont"/>
    <w:rsid w:val="00AE2198"/>
    <w:rPr>
      <w:u w:val="single"/>
    </w:rPr>
  </w:style>
  <w:style w:type="paragraph" w:customStyle="1" w:styleId="TableBodyTextRight">
    <w:name w:val="Table Body Text Right"/>
    <w:basedOn w:val="TableBodyText"/>
    <w:rsid w:val="00AE2198"/>
    <w:pPr>
      <w:widowControl w:val="0"/>
      <w:autoSpaceDE w:val="0"/>
      <w:autoSpaceDN w:val="0"/>
      <w:adjustRightInd w:val="0"/>
      <w:jc w:val="right"/>
    </w:pPr>
    <w:rPr>
      <w:rFonts w:cs="Arial"/>
      <w:szCs w:val="18"/>
    </w:rPr>
  </w:style>
  <w:style w:type="paragraph" w:customStyle="1" w:styleId="CopyrightText">
    <w:name w:val="Copyright Text"/>
    <w:basedOn w:val="BodyText"/>
    <w:rsid w:val="00AE2198"/>
    <w:rPr>
      <w:sz w:val="18"/>
    </w:rPr>
  </w:style>
  <w:style w:type="paragraph" w:customStyle="1" w:styleId="BodySmallRight">
    <w:name w:val="Body Small Right"/>
    <w:basedOn w:val="BodyTextRight"/>
    <w:rsid w:val="00AE2198"/>
    <w:rPr>
      <w:sz w:val="18"/>
      <w:szCs w:val="18"/>
    </w:rPr>
  </w:style>
  <w:style w:type="paragraph" w:customStyle="1" w:styleId="MarginEdition">
    <w:name w:val="Margin Edition"/>
    <w:basedOn w:val="MarginNote"/>
    <w:rsid w:val="00AE2198"/>
    <w:pPr>
      <w:spacing w:before="0" w:after="0"/>
    </w:pPr>
    <w:rPr>
      <w:rFonts w:ascii="Times New Roman" w:hAnsi="Times New Roman"/>
      <w:color w:val="999999"/>
    </w:rPr>
  </w:style>
  <w:style w:type="paragraph" w:customStyle="1" w:styleId="Spacer">
    <w:name w:val="Spacer"/>
    <w:basedOn w:val="Normal"/>
    <w:rsid w:val="00AE2198"/>
    <w:rPr>
      <w:sz w:val="2"/>
      <w:szCs w:val="2"/>
    </w:rPr>
  </w:style>
  <w:style w:type="character" w:customStyle="1" w:styleId="Small">
    <w:name w:val="Small"/>
    <w:basedOn w:val="DefaultParagraphFont"/>
    <w:rsid w:val="00AE2198"/>
    <w:rPr>
      <w:sz w:val="16"/>
    </w:rPr>
  </w:style>
  <w:style w:type="paragraph" w:customStyle="1" w:styleId="WideTable">
    <w:name w:val="Wide Table"/>
    <w:basedOn w:val="Normal"/>
    <w:rsid w:val="00AE2198"/>
    <w:pPr>
      <w:ind w:left="-1418"/>
    </w:pPr>
    <w:rPr>
      <w:sz w:val="2"/>
      <w:szCs w:val="2"/>
    </w:rPr>
  </w:style>
  <w:style w:type="character" w:styleId="PageNumber">
    <w:name w:val="page number"/>
    <w:basedOn w:val="DefaultParagraphFont"/>
    <w:rsid w:val="00AE2198"/>
  </w:style>
  <w:style w:type="paragraph" w:styleId="Quote">
    <w:name w:val="Quote"/>
    <w:basedOn w:val="Heading1"/>
    <w:link w:val="QuoteChar"/>
    <w:qFormat/>
    <w:rsid w:val="00AE2198"/>
    <w:rPr>
      <w:b w:val="0"/>
      <w:sz w:val="72"/>
      <w:szCs w:val="72"/>
      <w:lang w:val="en-NZ"/>
    </w:rPr>
  </w:style>
  <w:style w:type="character" w:customStyle="1" w:styleId="QuoteChar">
    <w:name w:val="Quote Char"/>
    <w:basedOn w:val="DefaultParagraphFont"/>
    <w:link w:val="Quote"/>
    <w:rsid w:val="00AE21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2198"/>
    <w:pPr>
      <w:pageBreakBefore/>
    </w:pPr>
  </w:style>
  <w:style w:type="paragraph" w:customStyle="1" w:styleId="Border">
    <w:name w:val="Border"/>
    <w:basedOn w:val="Normal"/>
    <w:qFormat/>
    <w:rsid w:val="00AE21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2198"/>
    <w:rPr>
      <w:b/>
      <w:bCs/>
      <w:i/>
      <w:iCs/>
      <w:color w:val="auto"/>
    </w:rPr>
  </w:style>
  <w:style w:type="paragraph" w:styleId="IntenseQuote">
    <w:name w:val="Intense Quote"/>
    <w:basedOn w:val="Normal"/>
    <w:next w:val="Normal"/>
    <w:link w:val="IntenseQuoteChar"/>
    <w:uiPriority w:val="30"/>
    <w:qFormat/>
    <w:rsid w:val="00AE21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21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2198"/>
    <w:rPr>
      <w:smallCaps/>
      <w:color w:val="auto"/>
      <w:u w:val="single"/>
    </w:rPr>
  </w:style>
  <w:style w:type="character" w:styleId="IntenseReference">
    <w:name w:val="Intense Reference"/>
    <w:basedOn w:val="DefaultParagraphFont"/>
    <w:uiPriority w:val="32"/>
    <w:qFormat/>
    <w:rsid w:val="00AE2198"/>
    <w:rPr>
      <w:b/>
      <w:bCs/>
      <w:smallCaps/>
      <w:color w:val="auto"/>
      <w:spacing w:val="5"/>
      <w:u w:val="single"/>
    </w:rPr>
  </w:style>
  <w:style w:type="paragraph" w:customStyle="1" w:styleId="2ColumnHeading">
    <w:name w:val="2Column Heading"/>
    <w:basedOn w:val="BodyText"/>
    <w:qFormat/>
    <w:rsid w:val="00AE2198"/>
    <w:pPr>
      <w:spacing w:after="60"/>
      <w:ind w:left="-2268"/>
    </w:pPr>
    <w:rPr>
      <w:b/>
    </w:rPr>
  </w:style>
  <w:style w:type="paragraph" w:customStyle="1" w:styleId="Heading1TOC">
    <w:name w:val="Heading1 TOC"/>
    <w:basedOn w:val="Normal"/>
    <w:qFormat/>
    <w:rsid w:val="00AE2198"/>
    <w:pPr>
      <w:spacing w:before="240" w:after="120"/>
    </w:pPr>
    <w:rPr>
      <w:rFonts w:ascii="Times New Roman" w:hAnsi="Times New Roman"/>
      <w:b/>
      <w:sz w:val="32"/>
    </w:rPr>
  </w:style>
  <w:style w:type="paragraph" w:customStyle="1" w:styleId="Heading2TOC">
    <w:name w:val="Heading2 TOC"/>
    <w:basedOn w:val="Normal"/>
    <w:qFormat/>
    <w:rsid w:val="00AE2198"/>
    <w:pPr>
      <w:spacing w:before="240" w:after="60"/>
    </w:pPr>
    <w:rPr>
      <w:rFonts w:ascii="Times New Roman" w:hAnsi="Times New Roman"/>
      <w:b/>
      <w:sz w:val="28"/>
    </w:rPr>
  </w:style>
  <w:style w:type="character" w:customStyle="1" w:styleId="Underline">
    <w:name w:val="Underline"/>
    <w:basedOn w:val="DefaultParagraphFont"/>
    <w:qFormat/>
    <w:rsid w:val="00AE2198"/>
    <w:rPr>
      <w:u w:val="single"/>
    </w:rPr>
  </w:style>
  <w:style w:type="character" w:customStyle="1" w:styleId="BoldandItalics">
    <w:name w:val="Bold and Italics"/>
    <w:qFormat/>
    <w:rsid w:val="00AE2198"/>
    <w:rPr>
      <w:b/>
      <w:i/>
      <w:u w:val="none"/>
    </w:rPr>
  </w:style>
  <w:style w:type="paragraph" w:styleId="BalloonText">
    <w:name w:val="Balloon Text"/>
    <w:basedOn w:val="Normal"/>
    <w:link w:val="BalloonTextChar"/>
    <w:rsid w:val="00AE2198"/>
    <w:rPr>
      <w:rFonts w:ascii="Tahoma" w:hAnsi="Tahoma" w:cs="Tahoma"/>
      <w:sz w:val="16"/>
      <w:szCs w:val="16"/>
    </w:rPr>
  </w:style>
  <w:style w:type="character" w:customStyle="1" w:styleId="BalloonTextChar">
    <w:name w:val="Balloon Text Char"/>
    <w:basedOn w:val="DefaultParagraphFont"/>
    <w:link w:val="BalloonText"/>
    <w:rsid w:val="00AE21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21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21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2198"/>
    <w:rPr>
      <w:b/>
      <w:color w:val="660033"/>
      <w:spacing w:val="0"/>
    </w:rPr>
  </w:style>
  <w:style w:type="paragraph" w:customStyle="1" w:styleId="Nameditemlist">
    <w:name w:val="Named item list"/>
    <w:basedOn w:val="BodyText"/>
    <w:qFormat/>
    <w:rsid w:val="00AE2198"/>
    <w:pPr>
      <w:tabs>
        <w:tab w:val="left" w:pos="2835"/>
      </w:tabs>
      <w:ind w:left="2835" w:hanging="2835"/>
    </w:pPr>
  </w:style>
  <w:style w:type="paragraph" w:customStyle="1" w:styleId="BodyTextnopadding">
    <w:name w:val="Body Text no padding"/>
    <w:basedOn w:val="BodyText"/>
    <w:qFormat/>
    <w:rsid w:val="00AE2198"/>
    <w:pPr>
      <w:spacing w:before="0" w:after="0"/>
    </w:pPr>
  </w:style>
  <w:style w:type="paragraph" w:customStyle="1" w:styleId="BodyTextBold">
    <w:name w:val="Body Text Bold"/>
    <w:basedOn w:val="BodyText"/>
    <w:qFormat/>
    <w:rsid w:val="00AE2198"/>
    <w:rPr>
      <w:b/>
    </w:rPr>
  </w:style>
  <w:style w:type="character" w:styleId="Hyperlink">
    <w:name w:val="Hyperlink"/>
    <w:basedOn w:val="DefaultParagraphFont"/>
    <w:uiPriority w:val="99"/>
    <w:unhideWhenUsed/>
    <w:rsid w:val="00B54F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722</Words>
  <Characters>4667</Characters>
  <Application>Microsoft Office Word</Application>
  <DocSecurity>0</DocSecurity>
  <Lines>212</Lines>
  <Paragraphs>119</Paragraphs>
  <ScaleCrop>false</ScaleCrop>
  <Company>Author-it Software Corporation Ltd.</Company>
  <LinksUpToDate>false</LinksUpToDate>
  <CharactersWithSpaces>5270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MSFFF2006 Apply surface coatings by spray gun</dc:title>
  <dc:subject>Approved</dc:subject>
  <dc:creator>Skills Insight</dc:creator>
  <cp:keywords>Release: 1</cp:keywords>
  <dc:description>Review Date: 12 April 2008</dc:description>
  <cp:lastModifiedBy>HSD_TPCMSd.prod</cp:lastModifiedBy>
  <cp:revision>3</cp:revision>
  <dcterms:created xsi:type="dcterms:W3CDTF">2024-12-24T00:58:00Z</dcterms:created>
  <dcterms:modified xsi:type="dcterms:W3CDTF">2024-12-24T00:58:00Z</dcterms:modified>
</cp:coreProperties>
</file>