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134F" w:rsidP="0051134F">
      <w:pPr>
        <w:pStyle w:val="Title"/>
      </w:pPr>
      <w:r>
        <w:fldChar w:fldCharType="begin"/>
      </w:r>
      <w:r>
        <w:instrText xml:space="preserve"> TITLE   \* MERGEFORMAT </w:instrText>
      </w:r>
      <w:r>
        <w:fldChar w:fldCharType="separate"/>
      </w:r>
      <w:r>
        <w:t>MSFFDT5014 Investigate legal requirements for design</w:t>
      </w:r>
      <w:r>
        <w:fldChar w:fldCharType="end"/>
      </w:r>
    </w:p>
    <w:p w:rsidR="0051134F" w:rsidP="0051134F">
      <w:pPr>
        <w:pStyle w:val="Version"/>
        <w:sectPr w:rsidSect="00573F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3F95" w:rsidP="00573F95">
      <w:pPr>
        <w:pStyle w:val="SuperHeading"/>
      </w:pPr>
      <w:r w:rsidRPr="00573F95">
        <w:t>MSFFDT5014 Investigate legal requirements for design</w:t>
      </w:r>
    </w:p>
    <w:p w:rsidR="00000000" w:rsidRPr="00573F95" w:rsidP="00573F95">
      <w:pPr>
        <w:pStyle w:val="Heading1"/>
      </w:pPr>
      <w:bookmarkStart w:id="1" w:name="O_631970"/>
      <w:bookmarkEnd w:id="1"/>
      <w:r w:rsidRPr="00573F95">
        <w:t>Modification History</w:t>
      </w:r>
    </w:p>
    <w:p w:rsidR="00000000" w:rsidRPr="00573F95" w:rsidP="00573F95">
      <w:pPr>
        <w:pStyle w:val="BodyText"/>
      </w:pPr>
      <w:r w:rsidRPr="00573F95">
        <w:t>Release 1 - New unit of competency</w:t>
      </w:r>
    </w:p>
    <w:p w:rsidR="00000000" w:rsidRPr="00573F95" w:rsidP="00573F95">
      <w:pPr>
        <w:pStyle w:val="AllowPageBreak"/>
      </w:pPr>
    </w:p>
    <w:p w:rsidR="00000000" w:rsidRPr="00573F95" w:rsidP="00573F95">
      <w:pPr>
        <w:pStyle w:val="Heading1"/>
      </w:pPr>
      <w:bookmarkStart w:id="2" w:name="O_631978"/>
      <w:bookmarkEnd w:id="2"/>
      <w:r w:rsidRPr="00573F95">
        <w:t>Application</w:t>
      </w:r>
    </w:p>
    <w:p w:rsidR="00000000" w:rsidRPr="00573F95" w:rsidP="00573F95">
      <w:pPr>
        <w:pStyle w:val="BodyText"/>
      </w:pPr>
      <w:r w:rsidRPr="00573F95">
        <w:t>This unit of competency covers investigating legal requirements for design, including procurement, business legalities, contractual obligations and operational iss</w:t>
      </w:r>
      <w:r w:rsidRPr="00573F95">
        <w:t>ues. It applies to an industry workplace or design studio environment and involves application of skills and knowledge at a managerial level.</w:t>
      </w:r>
    </w:p>
    <w:p w:rsidR="00000000" w:rsidRPr="00573F95" w:rsidP="00573F95">
      <w:pPr>
        <w:pStyle w:val="BodyText"/>
      </w:pPr>
    </w:p>
    <w:p w:rsidR="0051134F" w:rsidP="00573F95">
      <w:pPr>
        <w:pStyle w:val="BodyText"/>
      </w:pPr>
      <w:r w:rsidRPr="00573F95">
        <w:t>No licensing, legislative or certification requirements apply to this unit at the time of publication.</w:t>
      </w:r>
    </w:p>
    <w:p w:rsidR="0051134F" w:rsidP="00573F95">
      <w:pPr>
        <w:pStyle w:val="BodyText"/>
      </w:pPr>
    </w:p>
    <w:p w:rsidR="00000000" w:rsidRPr="00573F95" w:rsidP="00573F95">
      <w:pPr>
        <w:pStyle w:val="Heading1"/>
      </w:pPr>
      <w:bookmarkStart w:id="3" w:name="O_631977"/>
      <w:bookmarkEnd w:id="3"/>
      <w:r w:rsidRPr="00573F95">
        <w:t>Pre-requisite Unit</w:t>
      </w:r>
    </w:p>
    <w:p w:rsidR="00000000" w:rsidRPr="00573F95" w:rsidP="00573F95">
      <w:pPr>
        <w:pStyle w:val="Heading1"/>
      </w:pPr>
      <w:bookmarkStart w:id="4" w:name="O_631976"/>
      <w:bookmarkEnd w:id="4"/>
      <w:r w:rsidRPr="00573F95">
        <w:t>Competency Field</w:t>
      </w:r>
    </w:p>
    <w:p w:rsidR="00000000" w:rsidRPr="00573F95" w:rsidP="00573F95">
      <w:pPr>
        <w:pStyle w:val="Heading1"/>
      </w:pPr>
      <w:bookmarkStart w:id="5" w:name="O_631975"/>
      <w:bookmarkEnd w:id="5"/>
      <w:r w:rsidRPr="00573F95">
        <w:t>Unit Sector</w:t>
      </w:r>
    </w:p>
    <w:p w:rsidR="00000000" w:rsidRPr="00573F95" w:rsidP="00573F95">
      <w:pPr>
        <w:pStyle w:val="BodyText"/>
      </w:pPr>
      <w:r w:rsidRPr="00573F95">
        <w:t>Furniture design and technology</w:t>
      </w:r>
    </w:p>
    <w:p w:rsidR="00000000" w:rsidRPr="00573F95" w:rsidP="00573F95">
      <w:pPr>
        <w:pStyle w:val="AllowPageBreak"/>
      </w:pPr>
    </w:p>
    <w:p w:rsidR="00000000" w:rsidRPr="00573F95" w:rsidP="00573F95">
      <w:pPr>
        <w:pStyle w:val="Heading1"/>
      </w:pPr>
      <w:bookmarkStart w:id="6" w:name="O_631974"/>
      <w:bookmarkEnd w:id="6"/>
      <w:r w:rsidRPr="00573F9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73F9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t>Performance criteria describe the performa</w:t>
            </w:r>
            <w:r w:rsidRPr="00573F95">
              <w:t>nce needed to demonstrate achievement of the element.</w:t>
            </w:r>
          </w:p>
        </w:tc>
      </w:tr>
      <w:tr w:rsidTr="00573F9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t>1</w:t>
            </w:r>
          </w:p>
        </w:tc>
        <w:tc>
          <w:tcPr>
            <w:tcW w:w="1962" w:type="dxa"/>
            <w:vMerge w:val="restart"/>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t>Research legal requirements</w:t>
            </w:r>
          </w:p>
        </w:tc>
        <w:tc>
          <w:tcPr>
            <w:tcW w:w="77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t>1.1</w:t>
            </w:r>
          </w:p>
        </w:tc>
        <w:tc>
          <w:tcPr>
            <w:tcW w:w="561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t xml:space="preserve">Applicable work health and safety (WHS), legislative and organisational requirements relevant to investigating legal requirements for design </w:t>
            </w:r>
            <w:r w:rsidRPr="00573F95">
              <w:t>are verified and complied with</w:t>
            </w:r>
          </w:p>
        </w:tc>
      </w:tr>
      <w:tr w:rsidTr="00573F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t>1.2</w:t>
            </w:r>
          </w:p>
        </w:tc>
        <w:tc>
          <w:tcPr>
            <w:tcW w:w="561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t>Communication with others is established and maintained in accordance with WHS requirements</w:t>
            </w:r>
          </w:p>
        </w:tc>
      </w:tr>
      <w:tr w:rsidTr="00573F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t>1.3</w:t>
            </w:r>
          </w:p>
        </w:tc>
        <w:tc>
          <w:tcPr>
            <w:tcW w:w="561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t>Legal requirements affecting the enterprise are detected and researched</w:t>
            </w:r>
          </w:p>
        </w:tc>
      </w:tr>
      <w:tr w:rsidTr="00573F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t>1.4</w:t>
            </w:r>
          </w:p>
        </w:tc>
        <w:tc>
          <w:tcPr>
            <w:tcW w:w="561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t>Enterprise legal requirements are analysed and procedures developed and implemented to ensure full compliance</w:t>
            </w:r>
          </w:p>
        </w:tc>
      </w:tr>
      <w:tr w:rsidTr="00573F9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t>2</w:t>
            </w:r>
          </w:p>
        </w:tc>
        <w:tc>
          <w:tcPr>
            <w:tcW w:w="1962" w:type="dxa"/>
            <w:vMerge w:val="restart"/>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t>Comply with legal requirements</w:t>
            </w:r>
          </w:p>
        </w:tc>
        <w:tc>
          <w:tcPr>
            <w:tcW w:w="77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t>2.1</w:t>
            </w:r>
          </w:p>
        </w:tc>
        <w:tc>
          <w:tcPr>
            <w:tcW w:w="561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t>Business registration and government procedures are adhered to</w:t>
            </w:r>
          </w:p>
        </w:tc>
      </w:tr>
      <w:tr w:rsidTr="00573F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t>2.2</w:t>
            </w:r>
          </w:p>
        </w:tc>
        <w:tc>
          <w:tcPr>
            <w:tcW w:w="561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t>Suitable employment conditions, including industrial relations, are abided by</w:t>
            </w:r>
          </w:p>
        </w:tc>
      </w:tr>
      <w:tr w:rsidTr="00573F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t>2.3</w:t>
            </w:r>
          </w:p>
        </w:tc>
        <w:tc>
          <w:tcPr>
            <w:tcW w:w="561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t>Contracts and invoices used comply with legal requirements</w:t>
            </w:r>
          </w:p>
        </w:tc>
      </w:tr>
      <w:tr w:rsidTr="00573F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t>2.4</w:t>
            </w:r>
          </w:p>
        </w:tc>
        <w:tc>
          <w:tcPr>
            <w:tcW w:w="561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t>Operational codes of practice are researched and applied to day-to-day procedures</w:t>
            </w:r>
          </w:p>
        </w:tc>
      </w:tr>
      <w:tr w:rsidTr="00573F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t>2.5</w:t>
            </w:r>
          </w:p>
        </w:tc>
        <w:tc>
          <w:tcPr>
            <w:tcW w:w="561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t>Essential insurances are obtained and are regularly updated</w:t>
            </w:r>
          </w:p>
        </w:tc>
      </w:tr>
      <w:tr w:rsidTr="00573F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t>2.6</w:t>
            </w:r>
          </w:p>
        </w:tc>
        <w:tc>
          <w:tcPr>
            <w:tcW w:w="561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t>Procurement rights are adhered to and applied for own products</w:t>
            </w:r>
          </w:p>
        </w:tc>
      </w:tr>
      <w:tr w:rsidTr="00573F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t>2.7</w:t>
            </w:r>
          </w:p>
        </w:tc>
        <w:tc>
          <w:tcPr>
            <w:tcW w:w="561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t>WHS regulations are stringently applied and followed</w:t>
            </w:r>
          </w:p>
        </w:tc>
      </w:tr>
      <w:tr w:rsidTr="00573F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t>2.8</w:t>
            </w:r>
          </w:p>
        </w:tc>
        <w:tc>
          <w:tcPr>
            <w:tcW w:w="561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t>Import and export regulations are adhered to</w:t>
            </w:r>
          </w:p>
        </w:tc>
      </w:tr>
      <w:tr w:rsidTr="00573F9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t>2.9</w:t>
            </w:r>
          </w:p>
        </w:tc>
        <w:tc>
          <w:tcPr>
            <w:tcW w:w="5610" w:type="dxa"/>
            <w:tcBorders>
              <w:top w:val="nil"/>
              <w:left w:val="nil"/>
              <w:bottom w:val="nil"/>
              <w:right w:val="nil"/>
            </w:tcBorders>
            <w:tcMar>
              <w:top w:w="0" w:type="dxa"/>
              <w:left w:w="62" w:type="dxa"/>
              <w:bottom w:w="0" w:type="dxa"/>
              <w:right w:w="62" w:type="dxa"/>
            </w:tcMar>
          </w:tcPr>
          <w:p w:rsidR="00000000" w:rsidRPr="00573F95" w:rsidP="00573F95">
            <w:pPr>
              <w:pStyle w:val="BodyText"/>
            </w:pPr>
            <w:r w:rsidRPr="00573F95">
              <w:t>Risk management policies are applied, updated and maintained</w:t>
            </w:r>
          </w:p>
        </w:tc>
      </w:tr>
    </w:tbl>
    <w:p w:rsidR="0051134F" w:rsidP="00573F95">
      <w:pPr>
        <w:pStyle w:val="BodyText"/>
      </w:pPr>
    </w:p>
    <w:p w:rsidR="0051134F" w:rsidP="00573F95">
      <w:pPr>
        <w:pStyle w:val="BodyText"/>
      </w:pPr>
    </w:p>
    <w:p w:rsidR="00000000" w:rsidRPr="00573F95" w:rsidP="00573F95">
      <w:pPr>
        <w:pStyle w:val="Heading1"/>
      </w:pPr>
      <w:bookmarkStart w:id="7" w:name="O_631973"/>
      <w:bookmarkEnd w:id="7"/>
      <w:r w:rsidRPr="00573F95">
        <w:t>Foundation Skills</w:t>
      </w:r>
    </w:p>
    <w:p w:rsidR="0051134F" w:rsidP="00573F95">
      <w:pPr>
        <w:pStyle w:val="BodyText"/>
      </w:pPr>
      <w:r w:rsidRPr="00573F95">
        <w:t xml:space="preserve">Foundation skills essential to performance are explicit in the performance criteria of this unit of competency. Detail on appropriate performance levels for </w:t>
      </w:r>
      <w:r w:rsidRPr="00573F95">
        <w:t xml:space="preserve">each furnishing unit of competency in reading, writing, oral communication and numeracy utilising the Australian Core Skills Framework (ACSF) are provided in the Furnishing Training Package Implementation Guide. </w:t>
      </w:r>
    </w:p>
    <w:p w:rsidR="0051134F" w:rsidP="00573F95">
      <w:pPr>
        <w:pStyle w:val="BodyText"/>
      </w:pPr>
    </w:p>
    <w:p w:rsidR="00000000" w:rsidRPr="00573F95" w:rsidP="00573F95">
      <w:pPr>
        <w:pStyle w:val="Heading1"/>
      </w:pPr>
      <w:bookmarkStart w:id="8" w:name="O_631972"/>
      <w:bookmarkEnd w:id="8"/>
      <w:r w:rsidRPr="00573F95">
        <w:t>Range of Conditions</w:t>
      </w:r>
    </w:p>
    <w:tbl>
      <w:tblPr>
        <w:tblW w:w="0" w:type="auto"/>
        <w:tblLayout w:type="fixed"/>
        <w:tblCellMar>
          <w:left w:w="62" w:type="dxa"/>
          <w:right w:w="62" w:type="dxa"/>
        </w:tblCellMar>
        <w:tblLook w:val="0000"/>
      </w:tblPr>
      <w:tblGrid>
        <w:gridCol w:w="2760"/>
        <w:gridCol w:w="6312"/>
      </w:tblGrid>
      <w:tr w:rsidTr="00573F9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t>Speci</w:t>
            </w:r>
            <w:r w:rsidRPr="00573F95">
              <w:t>fies different work environments and conditions that may affect performance. Essential operating conditions that may be present (depending on the work situation, needs of the candidate, accessibility of the item, and local industry and regional contexts) a</w:t>
            </w:r>
            <w:r w:rsidRPr="00573F95">
              <w:t>re included. Range is restricted to essential operating conditions and any other variables essential to the work environment.</w:t>
            </w:r>
          </w:p>
        </w:tc>
      </w:tr>
      <w:tr w:rsidTr="00573F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573F95" w:rsidP="00573F95">
            <w:pPr>
              <w:pStyle w:val="ListBullet"/>
            </w:pPr>
            <w:r w:rsidRPr="00573F95">
              <w:t>policies and procedures relating to own role and responsibility</w:t>
            </w:r>
          </w:p>
          <w:p w:rsidR="00000000" w:rsidRPr="00573F95" w:rsidP="00573F95">
            <w:pPr>
              <w:pStyle w:val="ListBullet"/>
            </w:pPr>
            <w:r w:rsidRPr="00573F95">
              <w:t xml:space="preserve">quality assurance </w:t>
            </w:r>
          </w:p>
          <w:p w:rsidR="00000000" w:rsidRPr="00573F95" w:rsidP="00573F95">
            <w:pPr>
              <w:pStyle w:val="ListBullet"/>
            </w:pPr>
            <w:r w:rsidRPr="00573F95">
              <w:t>procedural manuals</w:t>
            </w:r>
          </w:p>
          <w:p w:rsidR="00000000" w:rsidRPr="00573F95" w:rsidP="00573F95">
            <w:pPr>
              <w:pStyle w:val="ListBullet"/>
            </w:pPr>
            <w:r w:rsidRPr="00573F95">
              <w:t>quality and continuous improvement processes and standards</w:t>
            </w:r>
          </w:p>
          <w:p w:rsidR="00000000" w:rsidRPr="00573F95" w:rsidP="00573F95">
            <w:pPr>
              <w:pStyle w:val="ListBullet"/>
            </w:pPr>
            <w:r w:rsidRPr="00573F95">
              <w:t xml:space="preserve">WHS, emergency and evacuation requirements </w:t>
            </w:r>
          </w:p>
          <w:p w:rsidR="00000000" w:rsidRPr="00573F95" w:rsidP="00573F95">
            <w:pPr>
              <w:pStyle w:val="ListBullet"/>
            </w:pPr>
            <w:r w:rsidRPr="00573F95">
              <w:t xml:space="preserve">ethical standards </w:t>
            </w:r>
          </w:p>
          <w:p w:rsidR="00000000" w:rsidRPr="00573F95" w:rsidP="00573F95">
            <w:pPr>
              <w:pStyle w:val="ListBullet"/>
            </w:pPr>
            <w:r w:rsidRPr="00573F95">
              <w:t>recording and reporting</w:t>
            </w:r>
          </w:p>
          <w:p w:rsidR="00000000" w:rsidP="00573F95">
            <w:pPr>
              <w:pStyle w:val="ListBullet"/>
              <w:rPr>
                <w:lang w:val="en-NZ"/>
              </w:rPr>
            </w:pPr>
            <w:r w:rsidRPr="00573F95">
              <w:t xml:space="preserve">access and equity principles and practices </w:t>
            </w:r>
          </w:p>
        </w:tc>
      </w:tr>
      <w:tr w:rsidTr="00573F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rPr>
                <w:rStyle w:val="SpecialBold"/>
              </w:rPr>
              <w:t>Legal requirements include:</w:t>
            </w:r>
          </w:p>
        </w:tc>
        <w:tc>
          <w:tcPr>
            <w:tcW w:w="6312" w:type="dxa"/>
            <w:tcBorders>
              <w:top w:val="nil"/>
              <w:left w:val="nil"/>
              <w:bottom w:val="nil"/>
              <w:right w:val="nil"/>
            </w:tcBorders>
            <w:tcMar>
              <w:top w:w="0" w:type="dxa"/>
              <w:left w:w="62" w:type="dxa"/>
              <w:bottom w:w="0" w:type="dxa"/>
              <w:right w:w="62" w:type="dxa"/>
            </w:tcMar>
          </w:tcPr>
          <w:p w:rsidR="00000000" w:rsidP="00573F95">
            <w:pPr>
              <w:pStyle w:val="ListBullet"/>
              <w:rPr>
                <w:lang w:val="en-NZ"/>
              </w:rPr>
            </w:pPr>
            <w:r w:rsidRPr="00573F95">
              <w:t>laws, regulations or policies which affect the operating systems of an enterprise</w:t>
            </w:r>
          </w:p>
        </w:tc>
      </w:tr>
      <w:tr w:rsidTr="00573F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rPr>
                <w:rStyle w:val="SpecialBold"/>
              </w:rPr>
              <w:t>Enterprises include:</w:t>
            </w:r>
          </w:p>
        </w:tc>
        <w:tc>
          <w:tcPr>
            <w:tcW w:w="6312" w:type="dxa"/>
            <w:tcBorders>
              <w:top w:val="nil"/>
              <w:left w:val="nil"/>
              <w:bottom w:val="nil"/>
              <w:right w:val="nil"/>
            </w:tcBorders>
            <w:tcMar>
              <w:top w:w="0" w:type="dxa"/>
              <w:left w:w="62" w:type="dxa"/>
              <w:bottom w:w="0" w:type="dxa"/>
              <w:right w:w="62" w:type="dxa"/>
            </w:tcMar>
          </w:tcPr>
          <w:p w:rsidR="00000000" w:rsidRPr="00573F95" w:rsidP="00573F95">
            <w:pPr>
              <w:pStyle w:val="ListBullet"/>
            </w:pPr>
            <w:r w:rsidRPr="00573F95">
              <w:t>sole traders</w:t>
            </w:r>
          </w:p>
          <w:p w:rsidR="00000000" w:rsidRPr="00573F95" w:rsidP="00573F95">
            <w:pPr>
              <w:pStyle w:val="ListBullet"/>
            </w:pPr>
            <w:r w:rsidRPr="00573F95">
              <w:t>partnerships</w:t>
            </w:r>
          </w:p>
          <w:p w:rsidR="00000000" w:rsidRPr="00573F95" w:rsidP="00573F95">
            <w:pPr>
              <w:pStyle w:val="ListBullet"/>
            </w:pPr>
            <w:r w:rsidRPr="00573F95">
              <w:t xml:space="preserve">trusts </w:t>
            </w:r>
          </w:p>
          <w:p w:rsidR="00000000" w:rsidRPr="00573F95" w:rsidP="00573F95">
            <w:pPr>
              <w:pStyle w:val="ListBullet"/>
            </w:pPr>
            <w:r w:rsidRPr="00573F95">
              <w:t>franchises</w:t>
            </w:r>
          </w:p>
          <w:p w:rsidR="00000000" w:rsidRPr="00573F95" w:rsidP="00573F95">
            <w:pPr>
              <w:pStyle w:val="ListBullet"/>
            </w:pPr>
            <w:r w:rsidRPr="00573F95">
              <w:t>agencies</w:t>
            </w:r>
          </w:p>
          <w:p w:rsidR="00000000" w:rsidRPr="00573F95" w:rsidP="00573F95">
            <w:pPr>
              <w:pStyle w:val="ListBullet"/>
            </w:pPr>
            <w:r w:rsidRPr="00573F95">
              <w:t xml:space="preserve">companies </w:t>
            </w:r>
          </w:p>
          <w:p w:rsidR="00000000" w:rsidP="00573F95">
            <w:pPr>
              <w:pStyle w:val="ListBullet"/>
              <w:rPr>
                <w:lang w:val="en-NZ"/>
              </w:rPr>
            </w:pPr>
            <w:r w:rsidRPr="00573F95">
              <w:t>consortiums</w:t>
            </w:r>
          </w:p>
        </w:tc>
      </w:tr>
      <w:tr w:rsidTr="00573F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rPr>
                <w:rStyle w:val="SpecialBold"/>
              </w:rPr>
              <w:t>Business registration includes:</w:t>
            </w:r>
          </w:p>
        </w:tc>
        <w:tc>
          <w:tcPr>
            <w:tcW w:w="6312" w:type="dxa"/>
            <w:tcBorders>
              <w:top w:val="nil"/>
              <w:left w:val="nil"/>
              <w:bottom w:val="nil"/>
              <w:right w:val="nil"/>
            </w:tcBorders>
            <w:tcMar>
              <w:top w:w="0" w:type="dxa"/>
              <w:left w:w="62" w:type="dxa"/>
              <w:bottom w:w="0" w:type="dxa"/>
              <w:right w:w="62" w:type="dxa"/>
            </w:tcMar>
          </w:tcPr>
          <w:p w:rsidR="00000000" w:rsidRPr="00573F95" w:rsidP="00573F95">
            <w:pPr>
              <w:pStyle w:val="ListBullet"/>
            </w:pPr>
            <w:r w:rsidRPr="00573F95">
              <w:t xml:space="preserve">business name registration </w:t>
            </w:r>
          </w:p>
          <w:p w:rsidR="00000000" w:rsidRPr="00573F95" w:rsidP="00573F95">
            <w:pPr>
              <w:pStyle w:val="ListBullet"/>
            </w:pPr>
            <w:r w:rsidRPr="00573F95">
              <w:t xml:space="preserve">achievement </w:t>
            </w:r>
            <w:r w:rsidRPr="00573F95">
              <w:t xml:space="preserve">of an Australian Business Number (ABN) </w:t>
            </w:r>
          </w:p>
          <w:p w:rsidR="00000000" w:rsidP="00573F95">
            <w:pPr>
              <w:pStyle w:val="ListBullet"/>
              <w:rPr>
                <w:lang w:val="en-NZ"/>
              </w:rPr>
            </w:pPr>
            <w:r w:rsidRPr="00573F95">
              <w:t>ownership transfer arrangements and licensing</w:t>
            </w:r>
          </w:p>
        </w:tc>
      </w:tr>
      <w:tr w:rsidTr="00573F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rPr>
                <w:rStyle w:val="SpecialBold"/>
              </w:rPr>
              <w:t>Government procedures include:</w:t>
            </w:r>
          </w:p>
        </w:tc>
        <w:tc>
          <w:tcPr>
            <w:tcW w:w="6312" w:type="dxa"/>
            <w:tcBorders>
              <w:top w:val="nil"/>
              <w:left w:val="nil"/>
              <w:bottom w:val="nil"/>
              <w:right w:val="nil"/>
            </w:tcBorders>
            <w:tcMar>
              <w:top w:w="0" w:type="dxa"/>
              <w:left w:w="62" w:type="dxa"/>
              <w:bottom w:w="0" w:type="dxa"/>
              <w:right w:w="62" w:type="dxa"/>
            </w:tcMar>
          </w:tcPr>
          <w:p w:rsidR="00000000" w:rsidRPr="00573F95" w:rsidP="00573F95">
            <w:pPr>
              <w:pStyle w:val="ListBullet"/>
            </w:pPr>
            <w:r w:rsidRPr="00573F95">
              <w:t xml:space="preserve">taxation and accounting requirements </w:t>
            </w:r>
          </w:p>
          <w:p w:rsidR="00000000" w:rsidRPr="00573F95" w:rsidP="00573F95">
            <w:pPr>
              <w:pStyle w:val="ListBullet"/>
            </w:pPr>
            <w:r w:rsidRPr="00573F95">
              <w:t>superannuation provisions</w:t>
            </w:r>
          </w:p>
          <w:p w:rsidR="00000000" w:rsidRPr="00573F95" w:rsidP="00573F95">
            <w:pPr>
              <w:pStyle w:val="ListBullet"/>
            </w:pPr>
            <w:r w:rsidRPr="00573F95">
              <w:t xml:space="preserve">business activity statements and the Goods and Services Tax (GST) </w:t>
            </w:r>
          </w:p>
          <w:p w:rsidR="00000000" w:rsidRPr="00573F95" w:rsidP="00573F95">
            <w:pPr>
              <w:pStyle w:val="ListBullet"/>
            </w:pPr>
            <w:r w:rsidRPr="00573F95">
              <w:t xml:space="preserve">tax file number </w:t>
            </w:r>
          </w:p>
          <w:p w:rsidR="00000000" w:rsidRPr="00573F95" w:rsidP="00573F95">
            <w:pPr>
              <w:pStyle w:val="ListBullet"/>
            </w:pPr>
            <w:r w:rsidRPr="00573F95">
              <w:t xml:space="preserve">Pay As You Go (PAYG) </w:t>
            </w:r>
          </w:p>
          <w:p w:rsidR="00000000" w:rsidP="00573F95">
            <w:pPr>
              <w:pStyle w:val="ListBullet"/>
              <w:rPr>
                <w:lang w:val="en-NZ"/>
              </w:rPr>
            </w:pPr>
            <w:r w:rsidRPr="00573F95">
              <w:t>withholding tax</w:t>
            </w:r>
          </w:p>
        </w:tc>
      </w:tr>
      <w:tr w:rsidTr="00573F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rPr>
                <w:rStyle w:val="SpecialBold"/>
              </w:rPr>
              <w:t>Employment conditions include:</w:t>
            </w:r>
          </w:p>
        </w:tc>
        <w:tc>
          <w:tcPr>
            <w:tcW w:w="6312" w:type="dxa"/>
            <w:tcBorders>
              <w:top w:val="nil"/>
              <w:left w:val="nil"/>
              <w:bottom w:val="nil"/>
              <w:right w:val="nil"/>
            </w:tcBorders>
            <w:tcMar>
              <w:top w:w="0" w:type="dxa"/>
              <w:left w:w="62" w:type="dxa"/>
              <w:bottom w:w="0" w:type="dxa"/>
              <w:right w:w="62" w:type="dxa"/>
            </w:tcMar>
          </w:tcPr>
          <w:p w:rsidR="00000000" w:rsidRPr="00573F95" w:rsidP="00573F95">
            <w:pPr>
              <w:pStyle w:val="ListBullet"/>
            </w:pPr>
            <w:r w:rsidRPr="00573F95">
              <w:t>industrial relations</w:t>
            </w:r>
          </w:p>
          <w:p w:rsidR="00000000" w:rsidRPr="00573F95" w:rsidP="00573F95">
            <w:pPr>
              <w:pStyle w:val="ListBullet"/>
            </w:pPr>
            <w:r w:rsidRPr="00573F95">
              <w:t>award rates</w:t>
            </w:r>
          </w:p>
          <w:p w:rsidR="00000000" w:rsidRPr="00573F95" w:rsidP="00573F95">
            <w:pPr>
              <w:pStyle w:val="ListBullet"/>
            </w:pPr>
            <w:r w:rsidRPr="00573F95">
              <w:t>employment conditions</w:t>
            </w:r>
          </w:p>
          <w:p w:rsidR="00000000" w:rsidRPr="00573F95" w:rsidP="00573F95">
            <w:pPr>
              <w:pStyle w:val="ListBullet"/>
            </w:pPr>
            <w:r w:rsidRPr="00573F95">
              <w:t xml:space="preserve">unfair dismissal laws </w:t>
            </w:r>
          </w:p>
          <w:p w:rsidR="00000000" w:rsidRPr="00573F95" w:rsidP="00573F95">
            <w:pPr>
              <w:pStyle w:val="ListBullet"/>
            </w:pPr>
            <w:r w:rsidRPr="00573F95">
              <w:t>equal employment opportunities (EEO)</w:t>
            </w:r>
          </w:p>
          <w:p w:rsidR="00000000" w:rsidRPr="00573F95" w:rsidP="00573F95">
            <w:pPr>
              <w:pStyle w:val="ListBullet"/>
            </w:pPr>
            <w:r w:rsidRPr="00573F95">
              <w:t xml:space="preserve">anti-discrimination </w:t>
            </w:r>
          </w:p>
          <w:p w:rsidR="00000000" w:rsidRPr="00573F95" w:rsidP="00573F95">
            <w:pPr>
              <w:pStyle w:val="ListBullet"/>
            </w:pPr>
            <w:r w:rsidRPr="00573F95">
              <w:t xml:space="preserve">enterprise agreements </w:t>
            </w:r>
          </w:p>
          <w:p w:rsidR="00000000" w:rsidRPr="00573F95" w:rsidP="00573F95">
            <w:pPr>
              <w:pStyle w:val="ListBullet"/>
            </w:pPr>
            <w:r w:rsidRPr="00573F95">
              <w:t xml:space="preserve">privacy </w:t>
            </w:r>
          </w:p>
          <w:p w:rsidR="00000000" w:rsidRPr="00573F95" w:rsidP="00573F95">
            <w:pPr>
              <w:pStyle w:val="ListBullet"/>
            </w:pPr>
            <w:r w:rsidRPr="00573F95">
              <w:t xml:space="preserve">confidentially </w:t>
            </w:r>
          </w:p>
          <w:p w:rsidR="00000000" w:rsidP="00573F95">
            <w:pPr>
              <w:pStyle w:val="ListBullet"/>
              <w:rPr>
                <w:lang w:val="en-NZ"/>
              </w:rPr>
            </w:pPr>
            <w:r w:rsidRPr="00573F95">
              <w:t>duty of care</w:t>
            </w:r>
          </w:p>
        </w:tc>
      </w:tr>
      <w:tr w:rsidTr="00573F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rPr>
                <w:rStyle w:val="SpecialBold"/>
              </w:rPr>
              <w:t>Contracts and invoices include:</w:t>
            </w:r>
          </w:p>
        </w:tc>
        <w:tc>
          <w:tcPr>
            <w:tcW w:w="6312" w:type="dxa"/>
            <w:tcBorders>
              <w:top w:val="nil"/>
              <w:left w:val="nil"/>
              <w:bottom w:val="nil"/>
              <w:right w:val="nil"/>
            </w:tcBorders>
            <w:tcMar>
              <w:top w:w="0" w:type="dxa"/>
              <w:left w:w="62" w:type="dxa"/>
              <w:bottom w:w="0" w:type="dxa"/>
              <w:right w:w="62" w:type="dxa"/>
            </w:tcMar>
          </w:tcPr>
          <w:p w:rsidR="00000000" w:rsidRPr="00573F95" w:rsidP="00573F95">
            <w:pPr>
              <w:pStyle w:val="ListBullet"/>
            </w:pPr>
            <w:r w:rsidRPr="00573F95">
              <w:t>contracts deemed legal by authorities with:</w:t>
            </w:r>
          </w:p>
          <w:p w:rsidR="00000000" w:rsidRPr="00573F95" w:rsidP="00573F95">
            <w:pPr>
              <w:pStyle w:val="ListBullet2"/>
            </w:pPr>
            <w:r w:rsidRPr="00573F95">
              <w:t>suppliers</w:t>
            </w:r>
          </w:p>
          <w:p w:rsidR="00000000" w:rsidRPr="00573F95" w:rsidP="00573F95">
            <w:pPr>
              <w:pStyle w:val="ListBullet2"/>
            </w:pPr>
            <w:r w:rsidRPr="00573F95">
              <w:t>owners</w:t>
            </w:r>
          </w:p>
          <w:p w:rsidR="00000000" w:rsidRPr="00573F95" w:rsidP="00573F95">
            <w:pPr>
              <w:pStyle w:val="ListBullet2"/>
            </w:pPr>
            <w:r w:rsidRPr="00573F95">
              <w:t>employees</w:t>
            </w:r>
          </w:p>
          <w:p w:rsidR="00000000" w:rsidRPr="00573F95" w:rsidP="00573F95">
            <w:pPr>
              <w:pStyle w:val="ListBullet2"/>
            </w:pPr>
            <w:r w:rsidRPr="00573F95">
              <w:t>landlords</w:t>
            </w:r>
          </w:p>
          <w:p w:rsidR="00000000" w:rsidRPr="00573F95" w:rsidP="00573F95">
            <w:pPr>
              <w:pStyle w:val="ListBullet2"/>
            </w:pPr>
            <w:r w:rsidRPr="00573F95">
              <w:t xml:space="preserve">agents </w:t>
            </w:r>
          </w:p>
          <w:p w:rsidR="00000000" w:rsidRPr="00573F95" w:rsidP="00573F95">
            <w:pPr>
              <w:pStyle w:val="ListBullet2"/>
            </w:pPr>
            <w:r w:rsidRPr="00573F95">
              <w:t xml:space="preserve">distributors </w:t>
            </w:r>
          </w:p>
          <w:p w:rsidR="00000000" w:rsidP="00573F95">
            <w:pPr>
              <w:pStyle w:val="ListBullet2"/>
              <w:rPr>
                <w:lang w:val="en-NZ"/>
              </w:rPr>
            </w:pPr>
            <w:r w:rsidRPr="00573F95">
              <w:t>customers</w:t>
            </w:r>
          </w:p>
        </w:tc>
      </w:tr>
      <w:tr w:rsidTr="00573F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rPr>
                <w:rStyle w:val="SpecialBold"/>
              </w:rPr>
              <w:t>Operational codes of practice include:</w:t>
            </w:r>
          </w:p>
        </w:tc>
        <w:tc>
          <w:tcPr>
            <w:tcW w:w="6312" w:type="dxa"/>
            <w:tcBorders>
              <w:top w:val="nil"/>
              <w:left w:val="nil"/>
              <w:bottom w:val="nil"/>
              <w:right w:val="nil"/>
            </w:tcBorders>
            <w:tcMar>
              <w:top w:w="0" w:type="dxa"/>
              <w:left w:w="62" w:type="dxa"/>
              <w:bottom w:w="0" w:type="dxa"/>
              <w:right w:w="62" w:type="dxa"/>
            </w:tcMar>
          </w:tcPr>
          <w:p w:rsidR="00000000" w:rsidRPr="00573F95" w:rsidP="00573F95">
            <w:pPr>
              <w:pStyle w:val="ListBullet"/>
            </w:pPr>
            <w:r w:rsidRPr="00573F95">
              <w:t>Australian Standards</w:t>
            </w:r>
          </w:p>
          <w:p w:rsidR="00000000" w:rsidRPr="00573F95" w:rsidP="00573F95">
            <w:pPr>
              <w:pStyle w:val="ListBullet"/>
            </w:pPr>
            <w:r w:rsidRPr="00573F95">
              <w:t xml:space="preserve">industry codes of practice </w:t>
            </w:r>
          </w:p>
          <w:p w:rsidR="00000000" w:rsidRPr="00573F95" w:rsidP="00573F95">
            <w:pPr>
              <w:pStyle w:val="ListBullet"/>
            </w:pPr>
            <w:r w:rsidRPr="00573F95">
              <w:t xml:space="preserve">equipment operating standards or regulations </w:t>
            </w:r>
          </w:p>
          <w:p w:rsidR="00000000" w:rsidP="00573F95">
            <w:pPr>
              <w:pStyle w:val="ListBullet"/>
              <w:rPr>
                <w:lang w:val="en-NZ"/>
              </w:rPr>
            </w:pPr>
            <w:r w:rsidRPr="00573F95">
              <w:t>resource access regulations</w:t>
            </w:r>
          </w:p>
        </w:tc>
      </w:tr>
      <w:tr w:rsidTr="00573F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rPr>
                <w:rStyle w:val="SpecialBold"/>
              </w:rPr>
              <w:t>Insurances include:</w:t>
            </w:r>
          </w:p>
        </w:tc>
        <w:tc>
          <w:tcPr>
            <w:tcW w:w="6312" w:type="dxa"/>
            <w:tcBorders>
              <w:top w:val="nil"/>
              <w:left w:val="nil"/>
              <w:bottom w:val="nil"/>
              <w:right w:val="nil"/>
            </w:tcBorders>
            <w:tcMar>
              <w:top w:w="0" w:type="dxa"/>
              <w:left w:w="62" w:type="dxa"/>
              <w:bottom w:w="0" w:type="dxa"/>
              <w:right w:w="62" w:type="dxa"/>
            </w:tcMar>
          </w:tcPr>
          <w:p w:rsidR="00000000" w:rsidRPr="00573F95" w:rsidP="00573F95">
            <w:pPr>
              <w:pStyle w:val="ListBullet"/>
            </w:pPr>
            <w:r w:rsidRPr="00573F95">
              <w:t xml:space="preserve">professional indemnity </w:t>
            </w:r>
          </w:p>
          <w:p w:rsidR="00000000" w:rsidRPr="00573F95" w:rsidP="00573F95">
            <w:pPr>
              <w:pStyle w:val="ListBullet"/>
            </w:pPr>
            <w:r w:rsidRPr="00573F95">
              <w:t xml:space="preserve">public liability </w:t>
            </w:r>
          </w:p>
          <w:p w:rsidR="00000000" w:rsidRPr="00573F95" w:rsidP="00573F95">
            <w:pPr>
              <w:pStyle w:val="ListBullet"/>
            </w:pPr>
            <w:r w:rsidRPr="00573F95">
              <w:t xml:space="preserve">income protection </w:t>
            </w:r>
          </w:p>
          <w:p w:rsidR="00000000" w:rsidRPr="00573F95" w:rsidP="00573F95">
            <w:pPr>
              <w:pStyle w:val="ListBullet"/>
            </w:pPr>
            <w:r w:rsidRPr="00573F95">
              <w:t xml:space="preserve">third party </w:t>
            </w:r>
          </w:p>
          <w:p w:rsidR="00000000" w:rsidRPr="00573F95" w:rsidP="00573F95">
            <w:pPr>
              <w:pStyle w:val="ListBullet"/>
            </w:pPr>
            <w:r w:rsidRPr="00573F95">
              <w:t>comprehensive</w:t>
            </w:r>
          </w:p>
          <w:p w:rsidR="00000000" w:rsidRPr="00573F95" w:rsidP="00573F95">
            <w:pPr>
              <w:pStyle w:val="ListBullet"/>
            </w:pPr>
            <w:r w:rsidRPr="00573F95">
              <w:t xml:space="preserve">building and contents insurance </w:t>
            </w:r>
          </w:p>
          <w:p w:rsidR="00000000" w:rsidRPr="00573F95" w:rsidP="00573F95">
            <w:pPr>
              <w:pStyle w:val="ListBullet"/>
            </w:pPr>
            <w:r w:rsidRPr="00573F95">
              <w:t>workers com</w:t>
            </w:r>
            <w:r w:rsidRPr="00573F95">
              <w:t xml:space="preserve">pensation  </w:t>
            </w:r>
          </w:p>
          <w:p w:rsidR="00000000" w:rsidP="00573F95">
            <w:pPr>
              <w:pStyle w:val="ListBullet"/>
              <w:rPr>
                <w:lang w:val="en-NZ"/>
              </w:rPr>
            </w:pPr>
            <w:r w:rsidRPr="00573F95">
              <w:t>any other legally prescribed insurance</w:t>
            </w:r>
          </w:p>
        </w:tc>
      </w:tr>
      <w:tr w:rsidTr="00573F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rPr>
                <w:rStyle w:val="SpecialBold"/>
              </w:rPr>
              <w:t>Procurement rights include:</w:t>
            </w:r>
          </w:p>
        </w:tc>
        <w:tc>
          <w:tcPr>
            <w:tcW w:w="6312" w:type="dxa"/>
            <w:tcBorders>
              <w:top w:val="nil"/>
              <w:left w:val="nil"/>
              <w:bottom w:val="nil"/>
              <w:right w:val="nil"/>
            </w:tcBorders>
            <w:tcMar>
              <w:top w:w="0" w:type="dxa"/>
              <w:left w:w="62" w:type="dxa"/>
              <w:bottom w:w="0" w:type="dxa"/>
              <w:right w:w="62" w:type="dxa"/>
            </w:tcMar>
          </w:tcPr>
          <w:p w:rsidR="00000000" w:rsidRPr="00573F95" w:rsidP="00573F95">
            <w:pPr>
              <w:pStyle w:val="ListBullet"/>
            </w:pPr>
            <w:r w:rsidRPr="00573F95">
              <w:t xml:space="preserve">royalties </w:t>
            </w:r>
          </w:p>
          <w:p w:rsidR="00000000" w:rsidRPr="00573F95" w:rsidP="00573F95">
            <w:pPr>
              <w:pStyle w:val="ListBullet"/>
            </w:pPr>
            <w:r w:rsidRPr="00573F95">
              <w:t>copyright</w:t>
            </w:r>
          </w:p>
          <w:p w:rsidR="00000000" w:rsidRPr="00573F95" w:rsidP="00573F95">
            <w:pPr>
              <w:pStyle w:val="ListBullet"/>
            </w:pPr>
            <w:r w:rsidRPr="00573F95">
              <w:t>patents</w:t>
            </w:r>
          </w:p>
          <w:p w:rsidR="00000000" w:rsidRPr="00573F95" w:rsidP="00573F95">
            <w:pPr>
              <w:pStyle w:val="ListBullet"/>
            </w:pPr>
            <w:r w:rsidRPr="00573F95">
              <w:t>trademarks</w:t>
            </w:r>
          </w:p>
          <w:p w:rsidR="00000000" w:rsidRPr="00573F95" w:rsidP="00573F95">
            <w:pPr>
              <w:pStyle w:val="ListBullet"/>
            </w:pPr>
            <w:r w:rsidRPr="00573F95">
              <w:t xml:space="preserve">design registration </w:t>
            </w:r>
          </w:p>
          <w:p w:rsidR="00000000" w:rsidRPr="00573F95" w:rsidP="00573F95">
            <w:pPr>
              <w:pStyle w:val="ListBullet"/>
            </w:pPr>
            <w:r w:rsidRPr="00573F95">
              <w:t xml:space="preserve">intellectual property </w:t>
            </w:r>
          </w:p>
          <w:p w:rsidR="00000000" w:rsidP="00573F95">
            <w:pPr>
              <w:pStyle w:val="ListBullet"/>
              <w:rPr>
                <w:lang w:val="en-NZ"/>
              </w:rPr>
            </w:pPr>
            <w:r w:rsidRPr="00573F95">
              <w:t>software licences</w:t>
            </w:r>
          </w:p>
        </w:tc>
      </w:tr>
      <w:tr w:rsidTr="00573F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rPr>
                <w:rStyle w:val="SpecialBold"/>
              </w:rPr>
              <w:t>Import and export regulations include:</w:t>
            </w:r>
          </w:p>
        </w:tc>
        <w:tc>
          <w:tcPr>
            <w:tcW w:w="6312" w:type="dxa"/>
            <w:tcBorders>
              <w:top w:val="nil"/>
              <w:left w:val="nil"/>
              <w:bottom w:val="nil"/>
              <w:right w:val="nil"/>
            </w:tcBorders>
            <w:tcMar>
              <w:top w:w="0" w:type="dxa"/>
              <w:left w:w="62" w:type="dxa"/>
              <w:bottom w:w="0" w:type="dxa"/>
              <w:right w:w="62" w:type="dxa"/>
            </w:tcMar>
          </w:tcPr>
          <w:p w:rsidR="00000000" w:rsidRPr="00573F95" w:rsidP="00573F95">
            <w:pPr>
              <w:pStyle w:val="ListBullet"/>
            </w:pPr>
            <w:r w:rsidRPr="00573F95">
              <w:t>duties</w:t>
            </w:r>
          </w:p>
          <w:p w:rsidR="00000000" w:rsidRPr="00573F95" w:rsidP="00573F95">
            <w:pPr>
              <w:pStyle w:val="ListBullet"/>
            </w:pPr>
            <w:r w:rsidRPr="00573F95">
              <w:t>tariffs</w:t>
            </w:r>
          </w:p>
          <w:p w:rsidR="00000000" w:rsidRPr="00573F95" w:rsidP="00573F95">
            <w:pPr>
              <w:pStyle w:val="ListBullet"/>
            </w:pPr>
            <w:r w:rsidRPr="00573F95">
              <w:t>customs</w:t>
            </w:r>
          </w:p>
          <w:p w:rsidR="00000000" w:rsidRPr="00573F95" w:rsidP="00573F95">
            <w:pPr>
              <w:pStyle w:val="ListBullet"/>
            </w:pPr>
            <w:r w:rsidRPr="00573F95">
              <w:t xml:space="preserve">immigration </w:t>
            </w:r>
          </w:p>
          <w:p w:rsidR="00000000" w:rsidP="00573F95">
            <w:pPr>
              <w:pStyle w:val="ListBullet"/>
              <w:rPr>
                <w:lang w:val="en-NZ"/>
              </w:rPr>
            </w:pPr>
            <w:r w:rsidRPr="00573F95">
              <w:t>any countries relevant import and export laws</w:t>
            </w:r>
          </w:p>
        </w:tc>
      </w:tr>
      <w:tr w:rsidTr="00573F9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73F95">
            <w:pPr>
              <w:pStyle w:val="BodyText"/>
              <w:rPr>
                <w:lang w:val="en-NZ"/>
              </w:rPr>
            </w:pPr>
            <w:r w:rsidRPr="00573F95">
              <w:rPr>
                <w:rStyle w:val="SpecialBold"/>
              </w:rPr>
              <w:t>Risk management includes:</w:t>
            </w:r>
          </w:p>
        </w:tc>
        <w:tc>
          <w:tcPr>
            <w:tcW w:w="6312" w:type="dxa"/>
            <w:tcBorders>
              <w:top w:val="nil"/>
              <w:left w:val="nil"/>
              <w:bottom w:val="nil"/>
              <w:right w:val="nil"/>
            </w:tcBorders>
            <w:tcMar>
              <w:top w:w="0" w:type="dxa"/>
              <w:left w:w="62" w:type="dxa"/>
              <w:bottom w:w="0" w:type="dxa"/>
              <w:right w:w="62" w:type="dxa"/>
            </w:tcMar>
          </w:tcPr>
          <w:p w:rsidR="00000000" w:rsidRPr="00573F95" w:rsidP="00573F95">
            <w:pPr>
              <w:pStyle w:val="ListBullet"/>
            </w:pPr>
            <w:r w:rsidRPr="00573F95">
              <w:t xml:space="preserve">provisions for ensuring all potential legal possibilities have been investigated </w:t>
            </w:r>
            <w:r w:rsidRPr="00573F95">
              <w:t>and evaluated to minimise threats to continuing efficiency, profitability and success of its operations</w:t>
            </w:r>
          </w:p>
        </w:tc>
      </w:tr>
    </w:tbl>
    <w:p w:rsidR="0051134F" w:rsidP="00573F95">
      <w:pPr>
        <w:pStyle w:val="BodyText"/>
      </w:pPr>
    </w:p>
    <w:p w:rsidR="0051134F" w:rsidP="00573F95">
      <w:pPr>
        <w:pStyle w:val="BodyText"/>
      </w:pPr>
    </w:p>
    <w:p w:rsidR="00000000" w:rsidRPr="00573F95" w:rsidP="00573F95">
      <w:pPr>
        <w:pStyle w:val="Heading1"/>
      </w:pPr>
      <w:bookmarkStart w:id="9" w:name="O_631971"/>
      <w:bookmarkEnd w:id="9"/>
      <w:r w:rsidRPr="00573F95">
        <w:t>Unit Mapping Information</w:t>
      </w:r>
    </w:p>
    <w:p w:rsidR="00000000" w:rsidRPr="00573F95" w:rsidP="00573F95">
      <w:pPr>
        <w:pStyle w:val="BodyText"/>
      </w:pPr>
      <w:r w:rsidRPr="00573F95">
        <w:t>Supersedes and is equivalent to LMFFDT6004A Investigate legal requirements for design networks</w:t>
      </w:r>
    </w:p>
    <w:p w:rsidR="00000000" w:rsidRPr="00573F95" w:rsidP="00573F95">
      <w:pPr>
        <w:pStyle w:val="AllowPageBreak"/>
      </w:pPr>
    </w:p>
    <w:p w:rsidR="00000000" w:rsidRPr="00573F95" w:rsidP="00573F95">
      <w:pPr>
        <w:pStyle w:val="Heading1"/>
      </w:pPr>
      <w:bookmarkStart w:id="10" w:name="O_631964"/>
      <w:bookmarkEnd w:id="10"/>
      <w:r w:rsidRPr="00573F95">
        <w:t>Links</w:t>
      </w:r>
    </w:p>
    <w:p w:rsidR="00000000" w:rsidRPr="00573F95" w:rsidP="00573F95">
      <w:pPr>
        <w:pStyle w:val="BodyText"/>
      </w:pPr>
      <w:r w:rsidRPr="00573F95">
        <w:t>Companion Volume implementation guides are found in VETNet - https://vetnet.education.gov.au/Pages/TrainingDocs.aspx?q=0601ab95-583a-4e93-b2d4-cfb27b03ed73</w:t>
      </w:r>
    </w:p>
    <w:p w:rsidR="00000000" w:rsidRPr="00573F95" w:rsidP="00573F95"/>
    <w:sectPr w:rsidSect="00573F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F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F95" w:rsidRPr="0051134F" w:rsidP="005113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F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34F" w:rsidP="00573F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1134F" w:rsidP="00573F9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1134F" w:rsidP="00573F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F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3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3F95" w:rsidRPr="0051134F" w:rsidP="005113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F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34F" w:rsidRPr="002D2AF8" w:rsidP="00573F95">
    <w:pPr>
      <w:pStyle w:val="Header"/>
      <w:framePr w:wrap="around"/>
    </w:pPr>
    <w:r>
      <w:fldChar w:fldCharType="begin"/>
    </w:r>
    <w:r>
      <w:instrText xml:space="preserve"> TITLE   \* MERGEFORMAT </w:instrText>
    </w:r>
    <w:r>
      <w:fldChar w:fldCharType="separate"/>
    </w:r>
    <w:r>
      <w:t>MSFFDT5014 Investigate legal requirements for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51134F" w:rsidP="00573F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222A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1402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F0AE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F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3F95"/>
    <w:pPr>
      <w:spacing w:before="360" w:after="60"/>
      <w:outlineLvl w:val="0"/>
    </w:pPr>
    <w:rPr>
      <w:sz w:val="32"/>
    </w:rPr>
  </w:style>
  <w:style w:type="paragraph" w:styleId="Heading2">
    <w:name w:val="heading 2"/>
    <w:basedOn w:val="HeadingBase"/>
    <w:next w:val="BodyText"/>
    <w:link w:val="Heading2Char"/>
    <w:qFormat/>
    <w:rsid w:val="00573F95"/>
    <w:pPr>
      <w:keepLines/>
      <w:spacing w:before="240" w:after="120"/>
      <w:outlineLvl w:val="1"/>
    </w:pPr>
    <w:rPr>
      <w:sz w:val="28"/>
      <w:szCs w:val="40"/>
    </w:rPr>
  </w:style>
  <w:style w:type="paragraph" w:styleId="Heading3">
    <w:name w:val="heading 3"/>
    <w:basedOn w:val="HeadingBase"/>
    <w:next w:val="BodyText"/>
    <w:link w:val="Heading3Char"/>
    <w:qFormat/>
    <w:rsid w:val="00573F95"/>
    <w:pPr>
      <w:spacing w:before="180" w:after="120"/>
      <w:outlineLvl w:val="2"/>
    </w:pPr>
    <w:rPr>
      <w:spacing w:val="-10"/>
      <w:kern w:val="32"/>
    </w:rPr>
  </w:style>
  <w:style w:type="paragraph" w:styleId="Heading4">
    <w:name w:val="heading 4"/>
    <w:basedOn w:val="HeadingBase"/>
    <w:next w:val="BodyText"/>
    <w:link w:val="Heading4Char"/>
    <w:qFormat/>
    <w:rsid w:val="00573F95"/>
    <w:pPr>
      <w:spacing w:before="160" w:after="120"/>
      <w:outlineLvl w:val="3"/>
    </w:pPr>
    <w:rPr>
      <w:sz w:val="22"/>
    </w:rPr>
  </w:style>
  <w:style w:type="paragraph" w:styleId="Heading5">
    <w:name w:val="heading 5"/>
    <w:basedOn w:val="HeadingBase"/>
    <w:next w:val="Normal"/>
    <w:link w:val="Heading5Char"/>
    <w:qFormat/>
    <w:rsid w:val="00573F95"/>
    <w:pPr>
      <w:spacing w:before="80"/>
      <w:outlineLvl w:val="4"/>
    </w:pPr>
    <w:rPr>
      <w:color w:val="918585"/>
      <w:sz w:val="20"/>
    </w:rPr>
  </w:style>
  <w:style w:type="paragraph" w:styleId="Heading6">
    <w:name w:val="heading 6"/>
    <w:basedOn w:val="HeadingBase"/>
    <w:next w:val="Normal"/>
    <w:link w:val="Heading6Char"/>
    <w:qFormat/>
    <w:rsid w:val="00573F95"/>
    <w:pPr>
      <w:spacing w:before="60"/>
      <w:outlineLvl w:val="5"/>
    </w:pPr>
    <w:rPr>
      <w:color w:val="918585"/>
      <w:sz w:val="20"/>
    </w:rPr>
  </w:style>
  <w:style w:type="paragraph" w:styleId="Heading7">
    <w:name w:val="heading 7"/>
    <w:basedOn w:val="Normal"/>
    <w:next w:val="Normal"/>
    <w:link w:val="Heading7Char"/>
    <w:qFormat/>
    <w:rsid w:val="00573F95"/>
    <w:pPr>
      <w:ind w:left="720"/>
      <w:outlineLvl w:val="6"/>
    </w:pPr>
    <w:rPr>
      <w:i/>
    </w:rPr>
  </w:style>
  <w:style w:type="paragraph" w:styleId="Heading8">
    <w:name w:val="heading 8"/>
    <w:basedOn w:val="Normal"/>
    <w:next w:val="Normal"/>
    <w:link w:val="Heading8Char"/>
    <w:qFormat/>
    <w:rsid w:val="00573F95"/>
    <w:pPr>
      <w:ind w:left="720"/>
      <w:outlineLvl w:val="7"/>
    </w:pPr>
    <w:rPr>
      <w:i/>
    </w:rPr>
  </w:style>
  <w:style w:type="paragraph" w:styleId="Heading9">
    <w:name w:val="heading 9"/>
    <w:basedOn w:val="Normal"/>
    <w:next w:val="Normal"/>
    <w:link w:val="Heading9Char"/>
    <w:qFormat/>
    <w:rsid w:val="00573F95"/>
    <w:pPr>
      <w:ind w:left="720"/>
      <w:outlineLvl w:val="8"/>
    </w:pPr>
    <w:rPr>
      <w:i/>
    </w:rPr>
  </w:style>
  <w:style w:type="character" w:default="1" w:styleId="DefaultParagraphFont">
    <w:name w:val="Default Paragraph Font"/>
    <w:uiPriority w:val="1"/>
    <w:unhideWhenUsed/>
    <w:rsid w:val="00573F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3F95"/>
  </w:style>
  <w:style w:type="character" w:customStyle="1" w:styleId="Heading1Char">
    <w:name w:val="Heading 1 Char"/>
    <w:basedOn w:val="DefaultParagraphFont"/>
    <w:link w:val="Heading1"/>
    <w:rsid w:val="00573F95"/>
    <w:rPr>
      <w:rFonts w:ascii="Times New Roman" w:eastAsia="Times New Roman" w:hAnsi="Times New Roman" w:cs="Times New Roman"/>
      <w:b/>
      <w:sz w:val="32"/>
      <w:szCs w:val="20"/>
      <w:lang w:eastAsia="en-US"/>
    </w:rPr>
  </w:style>
  <w:style w:type="paragraph" w:styleId="BodyText">
    <w:name w:val="Body Text"/>
    <w:basedOn w:val="Normal"/>
    <w:link w:val="BodyTextChar"/>
    <w:rsid w:val="00573F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3F95"/>
    <w:rPr>
      <w:rFonts w:ascii="Times New Roman" w:eastAsia="Times New Roman" w:hAnsi="Times New Roman" w:cs="Times New Roman"/>
      <w:sz w:val="24"/>
      <w:lang w:eastAsia="en-US"/>
    </w:rPr>
  </w:style>
  <w:style w:type="paragraph" w:styleId="ListBullet">
    <w:name w:val="List Bullet"/>
    <w:basedOn w:val="List"/>
    <w:rsid w:val="00573F95"/>
    <w:pPr>
      <w:numPr>
        <w:numId w:val="13"/>
      </w:numPr>
      <w:tabs>
        <w:tab w:val="clear" w:pos="340"/>
      </w:tabs>
      <w:spacing w:before="40" w:after="40"/>
    </w:pPr>
  </w:style>
  <w:style w:type="character" w:customStyle="1" w:styleId="SpecialBold">
    <w:name w:val="Special Bold"/>
    <w:basedOn w:val="DefaultParagraphFont"/>
    <w:rsid w:val="00573F95"/>
    <w:rPr>
      <w:b/>
      <w:spacing w:val="0"/>
    </w:rPr>
  </w:style>
  <w:style w:type="paragraph" w:styleId="ListBullet2">
    <w:name w:val="List Bullet 2"/>
    <w:basedOn w:val="List2"/>
    <w:rsid w:val="00573F95"/>
    <w:pPr>
      <w:numPr>
        <w:numId w:val="14"/>
      </w:numPr>
      <w:tabs>
        <w:tab w:val="clear" w:pos="680"/>
      </w:tabs>
    </w:pPr>
  </w:style>
  <w:style w:type="paragraph" w:customStyle="1" w:styleId="SuperHeading">
    <w:name w:val="SuperHeading"/>
    <w:basedOn w:val="Normal"/>
    <w:rsid w:val="00573F95"/>
    <w:pPr>
      <w:spacing w:before="240" w:after="120"/>
      <w:outlineLvl w:val="0"/>
    </w:pPr>
    <w:rPr>
      <w:rFonts w:ascii="Times New Roman" w:hAnsi="Times New Roman"/>
      <w:b/>
      <w:sz w:val="32"/>
    </w:rPr>
  </w:style>
  <w:style w:type="paragraph" w:customStyle="1" w:styleId="AllowPageBreak">
    <w:name w:val="AllowPageBreak"/>
    <w:rsid w:val="00573F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3F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3F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3F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3F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3F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3F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3F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3F95"/>
    <w:rPr>
      <w:rFonts w:ascii="Courier New" w:eastAsia="Times New Roman" w:hAnsi="Courier New" w:cs="Times New Roman"/>
      <w:i/>
      <w:szCs w:val="20"/>
      <w:lang w:eastAsia="en-US"/>
    </w:rPr>
  </w:style>
  <w:style w:type="paragraph" w:customStyle="1" w:styleId="HeadingBase">
    <w:name w:val="Heading Base"/>
    <w:rsid w:val="00573F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3F95"/>
    <w:pPr>
      <w:tabs>
        <w:tab w:val="right" w:leader="dot" w:pos="9072"/>
      </w:tabs>
      <w:ind w:left="567"/>
    </w:pPr>
    <w:rPr>
      <w:szCs w:val="22"/>
    </w:rPr>
  </w:style>
  <w:style w:type="paragraph" w:customStyle="1" w:styleId="TOCBase">
    <w:name w:val="TOC Base"/>
    <w:rsid w:val="00573F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3F95"/>
    <w:pPr>
      <w:tabs>
        <w:tab w:val="right" w:leader="dot" w:pos="9072"/>
      </w:tabs>
      <w:spacing w:before="40" w:after="40"/>
      <w:ind w:left="284"/>
    </w:pPr>
    <w:rPr>
      <w:rFonts w:ascii="Times New Roman" w:hAnsi="Times New Roman"/>
    </w:rPr>
  </w:style>
  <w:style w:type="paragraph" w:styleId="TOC1">
    <w:name w:val="toc 1"/>
    <w:basedOn w:val="TOCBase"/>
    <w:next w:val="Normal"/>
    <w:rsid w:val="00573F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3F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3F95"/>
    <w:rPr>
      <w:rFonts w:ascii="Times New Roman" w:eastAsia="Times New Roman" w:hAnsi="Times New Roman" w:cs="Times New Roman"/>
      <w:sz w:val="16"/>
      <w:lang w:eastAsia="en-US"/>
    </w:rPr>
  </w:style>
  <w:style w:type="paragraph" w:styleId="Title">
    <w:name w:val="Title"/>
    <w:basedOn w:val="HeadingBase"/>
    <w:link w:val="TitleChar"/>
    <w:qFormat/>
    <w:rsid w:val="00573F95"/>
    <w:pPr>
      <w:spacing w:before="5040"/>
      <w:jc w:val="center"/>
    </w:pPr>
    <w:rPr>
      <w:sz w:val="48"/>
      <w:szCs w:val="72"/>
      <w:lang w:val="en-US"/>
    </w:rPr>
  </w:style>
  <w:style w:type="character" w:customStyle="1" w:styleId="TitleChar">
    <w:name w:val="Title Char"/>
    <w:basedOn w:val="DefaultParagraphFont"/>
    <w:link w:val="Title"/>
    <w:rsid w:val="00573F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3F95"/>
    <w:pPr>
      <w:tabs>
        <w:tab w:val="left" w:pos="3600"/>
        <w:tab w:val="left" w:pos="3958"/>
      </w:tabs>
    </w:pPr>
  </w:style>
  <w:style w:type="paragraph" w:styleId="List">
    <w:name w:val="List"/>
    <w:basedOn w:val="BodyText"/>
    <w:next w:val="BodyText"/>
    <w:rsid w:val="00573F95"/>
    <w:pPr>
      <w:tabs>
        <w:tab w:val="left" w:pos="340"/>
      </w:tabs>
      <w:spacing w:before="60" w:after="60"/>
      <w:ind w:left="340" w:hanging="340"/>
    </w:pPr>
  </w:style>
  <w:style w:type="paragraph" w:customStyle="1" w:styleId="Note">
    <w:name w:val="Note"/>
    <w:basedOn w:val="BodyText"/>
    <w:rsid w:val="00573F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3F95"/>
    <w:pPr>
      <w:framePr w:wrap="auto" w:hAnchor="text" w:y="6049"/>
    </w:pPr>
    <w:rPr>
      <w:color w:val="000000"/>
      <w:sz w:val="40"/>
    </w:rPr>
  </w:style>
  <w:style w:type="paragraph" w:customStyle="1" w:styleId="TOCTitle">
    <w:name w:val="TOCTitle"/>
    <w:basedOn w:val="Heading1"/>
    <w:rsid w:val="00573F95"/>
    <w:pPr>
      <w:spacing w:after="240"/>
      <w:jc w:val="center"/>
      <w:outlineLvl w:val="9"/>
    </w:pPr>
    <w:rPr>
      <w:caps/>
    </w:rPr>
  </w:style>
  <w:style w:type="paragraph" w:customStyle="1" w:styleId="Version">
    <w:name w:val="Version"/>
    <w:rsid w:val="00573F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3F95"/>
    <w:pPr>
      <w:keepNext w:val="0"/>
      <w:tabs>
        <w:tab w:val="right" w:pos="4176"/>
      </w:tabs>
      <w:ind w:left="198" w:hanging="198"/>
    </w:pPr>
    <w:rPr>
      <w:rFonts w:ascii="Garamond" w:hAnsi="Garamond"/>
    </w:rPr>
  </w:style>
  <w:style w:type="paragraph" w:styleId="IndexHeading">
    <w:name w:val="index heading"/>
    <w:basedOn w:val="Normal"/>
    <w:next w:val="Index1"/>
    <w:semiHidden/>
    <w:rsid w:val="00573F95"/>
    <w:pPr>
      <w:spacing w:before="120" w:after="120"/>
    </w:pPr>
    <w:rPr>
      <w:rFonts w:ascii="Arial" w:hAnsi="Arial"/>
      <w:b/>
      <w:color w:val="918585"/>
      <w:sz w:val="24"/>
    </w:rPr>
  </w:style>
  <w:style w:type="paragraph" w:styleId="Header">
    <w:name w:val="header"/>
    <w:basedOn w:val="Normal"/>
    <w:link w:val="HeaderChar"/>
    <w:rsid w:val="00573F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3F95"/>
    <w:rPr>
      <w:rFonts w:ascii="Times New Roman" w:eastAsia="Times New Roman" w:hAnsi="Times New Roman" w:cs="Times New Roman"/>
      <w:sz w:val="16"/>
      <w:szCs w:val="20"/>
      <w:lang w:val="en-GB" w:eastAsia="en-US"/>
    </w:rPr>
  </w:style>
  <w:style w:type="paragraph" w:customStyle="1" w:styleId="Chapter">
    <w:name w:val="Chapter"/>
    <w:basedOn w:val="Normal"/>
    <w:rsid w:val="00573F95"/>
    <w:pPr>
      <w:spacing w:before="240"/>
    </w:pPr>
    <w:rPr>
      <w:rFonts w:ascii="Times New Roman" w:hAnsi="Times New Roman"/>
      <w:smallCaps/>
      <w:spacing w:val="80"/>
      <w:sz w:val="28"/>
    </w:rPr>
  </w:style>
  <w:style w:type="paragraph" w:customStyle="1" w:styleId="InChapter">
    <w:name w:val="InChapter"/>
    <w:basedOn w:val="Heading3"/>
    <w:rsid w:val="00573F95"/>
    <w:pPr>
      <w:spacing w:after="240"/>
      <w:outlineLvl w:val="9"/>
    </w:pPr>
    <w:rPr>
      <w:noProof/>
    </w:rPr>
  </w:style>
  <w:style w:type="paragraph" w:styleId="Index2">
    <w:name w:val="index 2"/>
    <w:basedOn w:val="Normal"/>
    <w:next w:val="Normal"/>
    <w:semiHidden/>
    <w:rsid w:val="00573F95"/>
    <w:pPr>
      <w:tabs>
        <w:tab w:val="right" w:pos="4176"/>
      </w:tabs>
      <w:ind w:left="568" w:hanging="284"/>
    </w:pPr>
    <w:rPr>
      <w:rFonts w:ascii="Garamond" w:hAnsi="Garamond"/>
    </w:rPr>
  </w:style>
  <w:style w:type="paragraph" w:customStyle="1" w:styleId="Byline">
    <w:name w:val="Byline"/>
    <w:rsid w:val="00573F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3F95"/>
    <w:pPr>
      <w:tabs>
        <w:tab w:val="clear" w:pos="3600"/>
        <w:tab w:val="clear" w:pos="3958"/>
      </w:tabs>
      <w:jc w:val="right"/>
    </w:pPr>
  </w:style>
  <w:style w:type="character" w:styleId="Emphasis">
    <w:name w:val="Emphasis"/>
    <w:basedOn w:val="DefaultParagraphFont"/>
    <w:qFormat/>
    <w:rsid w:val="00573F95"/>
    <w:rPr>
      <w:i/>
    </w:rPr>
  </w:style>
  <w:style w:type="paragraph" w:styleId="Caption">
    <w:name w:val="caption"/>
    <w:basedOn w:val="BodyText"/>
    <w:next w:val="Normal"/>
    <w:qFormat/>
    <w:rsid w:val="00573F95"/>
    <w:pPr>
      <w:framePr w:w="2268" w:hSpace="181" w:vSpace="181" w:wrap="around" w:vAnchor="text" w:hAnchor="page" w:x="1135" w:y="285" w:anchorLock="1"/>
    </w:pPr>
    <w:rPr>
      <w:i/>
    </w:rPr>
  </w:style>
  <w:style w:type="paragraph" w:customStyle="1" w:styleId="MiniTOCTitle">
    <w:name w:val="MiniTOCTitle"/>
    <w:basedOn w:val="Heading4"/>
    <w:rsid w:val="00573F95"/>
    <w:pPr>
      <w:spacing w:before="240"/>
      <w:outlineLvl w:val="9"/>
    </w:pPr>
    <w:rPr>
      <w:noProof/>
      <w:sz w:val="24"/>
    </w:rPr>
  </w:style>
  <w:style w:type="paragraph" w:customStyle="1" w:styleId="MiniTOCItem">
    <w:name w:val="MiniTOCItem"/>
    <w:basedOn w:val="ListBullet"/>
    <w:rsid w:val="00573F95"/>
    <w:pPr>
      <w:numPr>
        <w:numId w:val="0"/>
      </w:numPr>
      <w:tabs>
        <w:tab w:val="right" w:leader="dot" w:pos="6521"/>
      </w:tabs>
      <w:spacing w:before="0" w:after="0"/>
    </w:pPr>
  </w:style>
  <w:style w:type="paragraph" w:customStyle="1" w:styleId="TOFTitle">
    <w:name w:val="TOFTitle"/>
    <w:basedOn w:val="TOCTitle"/>
    <w:rsid w:val="00573F95"/>
  </w:style>
  <w:style w:type="paragraph" w:styleId="TableofFigures">
    <w:name w:val="table of figures"/>
    <w:basedOn w:val="Normal"/>
    <w:next w:val="Normal"/>
    <w:semiHidden/>
    <w:rsid w:val="00573F95"/>
    <w:pPr>
      <w:tabs>
        <w:tab w:val="right" w:leader="dot" w:pos="9072"/>
      </w:tabs>
      <w:ind w:left="970" w:hanging="403"/>
    </w:pPr>
    <w:rPr>
      <w:rFonts w:ascii="Times New Roman" w:hAnsi="Times New Roman"/>
      <w:b/>
    </w:rPr>
  </w:style>
  <w:style w:type="paragraph" w:styleId="ListNumber">
    <w:name w:val="List Number"/>
    <w:basedOn w:val="List"/>
    <w:rsid w:val="00573F95"/>
    <w:pPr>
      <w:numPr>
        <w:numId w:val="11"/>
      </w:numPr>
    </w:pPr>
  </w:style>
  <w:style w:type="character" w:customStyle="1" w:styleId="WingdingSymbols">
    <w:name w:val="Wingding Symbols"/>
    <w:rsid w:val="00573F95"/>
    <w:rPr>
      <w:rFonts w:ascii="Wingdings" w:hAnsi="Wingdings"/>
    </w:rPr>
  </w:style>
  <w:style w:type="paragraph" w:customStyle="1" w:styleId="TableHeading">
    <w:name w:val="Table Heading"/>
    <w:basedOn w:val="HeadingBase"/>
    <w:rsid w:val="00573F95"/>
    <w:pPr>
      <w:keepLines/>
      <w:pBdr>
        <w:bottom w:val="single" w:sz="6" w:space="1" w:color="918585"/>
      </w:pBdr>
      <w:spacing w:before="240"/>
    </w:pPr>
  </w:style>
  <w:style w:type="character" w:customStyle="1" w:styleId="HotSpot">
    <w:name w:val="HotSpot"/>
    <w:rsid w:val="00573F95"/>
    <w:rPr>
      <w:color w:val="0033CC"/>
      <w:u w:val="none"/>
    </w:rPr>
  </w:style>
  <w:style w:type="paragraph" w:customStyle="1" w:styleId="BodyTextRight">
    <w:name w:val="Body Text Right"/>
    <w:basedOn w:val="BodyText"/>
    <w:rsid w:val="00573F95"/>
    <w:pPr>
      <w:spacing w:before="0" w:after="0"/>
      <w:jc w:val="right"/>
    </w:pPr>
  </w:style>
  <w:style w:type="paragraph" w:styleId="Index3">
    <w:name w:val="index 3"/>
    <w:basedOn w:val="ListNumber2"/>
    <w:next w:val="Normal"/>
    <w:semiHidden/>
    <w:rsid w:val="00573F95"/>
    <w:pPr>
      <w:numPr>
        <w:numId w:val="0"/>
      </w:numPr>
      <w:tabs>
        <w:tab w:val="right" w:leader="dot" w:pos="4176"/>
      </w:tabs>
    </w:pPr>
  </w:style>
  <w:style w:type="paragraph" w:styleId="ListNumber2">
    <w:name w:val="List Number 2"/>
    <w:basedOn w:val="List2"/>
    <w:rsid w:val="00573F95"/>
    <w:pPr>
      <w:numPr>
        <w:numId w:val="10"/>
      </w:numPr>
      <w:tabs>
        <w:tab w:val="clear" w:pos="1060"/>
      </w:tabs>
    </w:pPr>
  </w:style>
  <w:style w:type="paragraph" w:customStyle="1" w:styleId="MarginNote">
    <w:name w:val="Margin Note"/>
    <w:basedOn w:val="BodyText"/>
    <w:rsid w:val="00573F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3F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3F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3F95"/>
    <w:rPr>
      <w:sz w:val="32"/>
    </w:rPr>
  </w:style>
  <w:style w:type="paragraph" w:customStyle="1" w:styleId="HeadingProcedure">
    <w:name w:val="Heading Procedure"/>
    <w:basedOn w:val="HeadingBase"/>
    <w:next w:val="Normal"/>
    <w:rsid w:val="00573F95"/>
    <w:pPr>
      <w:tabs>
        <w:tab w:val="left" w:pos="0"/>
      </w:tabs>
      <w:spacing w:before="120" w:after="60"/>
    </w:pPr>
    <w:rPr>
      <w:i/>
      <w:color w:val="918585"/>
      <w:sz w:val="22"/>
    </w:rPr>
  </w:style>
  <w:style w:type="paragraph" w:customStyle="1" w:styleId="TableBodyText">
    <w:name w:val="Table Body Text"/>
    <w:basedOn w:val="BodyText"/>
    <w:rsid w:val="00573F95"/>
    <w:pPr>
      <w:spacing w:before="60" w:after="60"/>
    </w:pPr>
  </w:style>
  <w:style w:type="paragraph" w:styleId="ListContinue">
    <w:name w:val="List Continue"/>
    <w:basedOn w:val="List"/>
    <w:rsid w:val="00573F95"/>
    <w:pPr>
      <w:ind w:firstLine="0"/>
    </w:pPr>
  </w:style>
  <w:style w:type="paragraph" w:customStyle="1" w:styleId="ListNote">
    <w:name w:val="List Note"/>
    <w:basedOn w:val="List"/>
    <w:rsid w:val="00573F95"/>
    <w:pPr>
      <w:pBdr>
        <w:top w:val="single" w:sz="6" w:space="2" w:color="918585"/>
        <w:bottom w:val="single" w:sz="6" w:space="2" w:color="918585"/>
      </w:pBdr>
      <w:tabs>
        <w:tab w:val="left" w:pos="1021"/>
      </w:tabs>
      <w:ind w:firstLine="0"/>
    </w:pPr>
  </w:style>
  <w:style w:type="paragraph" w:customStyle="1" w:styleId="Warning">
    <w:name w:val="Warning"/>
    <w:basedOn w:val="BodyText"/>
    <w:rsid w:val="00573F95"/>
    <w:pPr>
      <w:shd w:val="clear" w:color="auto" w:fill="D9D9D9"/>
      <w:tabs>
        <w:tab w:val="left" w:pos="992"/>
      </w:tabs>
      <w:ind w:left="119" w:right="119"/>
    </w:pPr>
    <w:rPr>
      <w:sz w:val="20"/>
    </w:rPr>
  </w:style>
  <w:style w:type="paragraph" w:customStyle="1" w:styleId="MarginIcons">
    <w:name w:val="Margin Icons"/>
    <w:basedOn w:val="BodyText"/>
    <w:rsid w:val="00573F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3F95"/>
    <w:rPr>
      <w:rFonts w:ascii="Courier New" w:hAnsi="Courier New"/>
    </w:rPr>
  </w:style>
  <w:style w:type="paragraph" w:customStyle="1" w:styleId="NoteBullet">
    <w:name w:val="Note Bullet"/>
    <w:basedOn w:val="Note"/>
    <w:rsid w:val="00573F95"/>
    <w:pPr>
      <w:tabs>
        <w:tab w:val="clear" w:pos="680"/>
      </w:tabs>
      <w:spacing w:before="60" w:after="60"/>
    </w:pPr>
  </w:style>
  <w:style w:type="paragraph" w:customStyle="1" w:styleId="SubHeading2">
    <w:name w:val="SubHeading2"/>
    <w:basedOn w:val="HeadingBase"/>
    <w:rsid w:val="00573F95"/>
    <w:pPr>
      <w:spacing w:before="240" w:after="60"/>
    </w:pPr>
    <w:rPr>
      <w:sz w:val="20"/>
    </w:rPr>
  </w:style>
  <w:style w:type="paragraph" w:customStyle="1" w:styleId="SubHeading1">
    <w:name w:val="SubHeading1"/>
    <w:basedOn w:val="HeadingBase"/>
    <w:rsid w:val="00573F95"/>
    <w:pPr>
      <w:spacing w:before="240" w:after="60"/>
    </w:pPr>
    <w:rPr>
      <w:color w:val="918585"/>
      <w:sz w:val="22"/>
    </w:rPr>
  </w:style>
  <w:style w:type="paragraph" w:customStyle="1" w:styleId="SideHeading">
    <w:name w:val="Side Heading"/>
    <w:basedOn w:val="HeadingBase"/>
    <w:rsid w:val="00573F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3F95"/>
    <w:pPr>
      <w:numPr>
        <w:numId w:val="12"/>
      </w:numPr>
    </w:pPr>
  </w:style>
  <w:style w:type="paragraph" w:styleId="PlainText">
    <w:name w:val="Plain Text"/>
    <w:basedOn w:val="Normal"/>
    <w:link w:val="PlainTextChar"/>
    <w:rsid w:val="00573F95"/>
    <w:rPr>
      <w:sz w:val="20"/>
    </w:rPr>
  </w:style>
  <w:style w:type="character" w:customStyle="1" w:styleId="PlainTextChar">
    <w:name w:val="Plain Text Char"/>
    <w:basedOn w:val="DefaultParagraphFont"/>
    <w:link w:val="PlainText"/>
    <w:rsid w:val="00573F95"/>
    <w:rPr>
      <w:rFonts w:ascii="Courier New" w:eastAsia="Times New Roman" w:hAnsi="Courier New" w:cs="Times New Roman"/>
      <w:sz w:val="20"/>
      <w:szCs w:val="20"/>
      <w:lang w:eastAsia="en-US"/>
    </w:rPr>
  </w:style>
  <w:style w:type="character" w:customStyle="1" w:styleId="MenuOption">
    <w:name w:val="Menu Option"/>
    <w:basedOn w:val="DefaultParagraphFont"/>
    <w:rsid w:val="00573F95"/>
    <w:rPr>
      <w:b/>
      <w:smallCaps/>
    </w:rPr>
  </w:style>
  <w:style w:type="paragraph" w:customStyle="1" w:styleId="TableListNumber">
    <w:name w:val="Table List Number"/>
    <w:basedOn w:val="ListNumber"/>
    <w:rsid w:val="00573F95"/>
    <w:pPr>
      <w:numPr>
        <w:numId w:val="0"/>
      </w:numPr>
    </w:pPr>
  </w:style>
  <w:style w:type="paragraph" w:styleId="TOC4">
    <w:name w:val="toc 4"/>
    <w:basedOn w:val="TOCBase"/>
    <w:next w:val="Normal"/>
    <w:semiHidden/>
    <w:rsid w:val="00573F95"/>
    <w:pPr>
      <w:tabs>
        <w:tab w:val="right" w:leader="dot" w:pos="9071"/>
      </w:tabs>
      <w:ind w:left="1701"/>
    </w:pPr>
  </w:style>
  <w:style w:type="paragraph" w:customStyle="1" w:styleId="ListAlpha">
    <w:name w:val="List Alpha"/>
    <w:basedOn w:val="List"/>
    <w:rsid w:val="00573F95"/>
    <w:pPr>
      <w:numPr>
        <w:numId w:val="9"/>
      </w:numPr>
    </w:pPr>
  </w:style>
  <w:style w:type="paragraph" w:customStyle="1" w:styleId="ListAlpha2">
    <w:name w:val="List Alpha 2"/>
    <w:basedOn w:val="List2"/>
    <w:rsid w:val="00573F95"/>
    <w:pPr>
      <w:numPr>
        <w:numId w:val="8"/>
      </w:numPr>
    </w:pPr>
  </w:style>
  <w:style w:type="paragraph" w:styleId="List2">
    <w:name w:val="List 2"/>
    <w:basedOn w:val="BodyText"/>
    <w:rsid w:val="00573F95"/>
    <w:pPr>
      <w:tabs>
        <w:tab w:val="left" w:pos="680"/>
      </w:tabs>
      <w:spacing w:before="60" w:after="60"/>
      <w:ind w:left="680" w:hanging="340"/>
    </w:pPr>
  </w:style>
  <w:style w:type="paragraph" w:styleId="List3">
    <w:name w:val="List 3"/>
    <w:basedOn w:val="BodyText"/>
    <w:rsid w:val="00573F95"/>
    <w:pPr>
      <w:tabs>
        <w:tab w:val="left" w:pos="1021"/>
      </w:tabs>
      <w:spacing w:before="60" w:after="60"/>
      <w:ind w:left="1020" w:hanging="340"/>
    </w:pPr>
  </w:style>
  <w:style w:type="paragraph" w:styleId="List4">
    <w:name w:val="List 4"/>
    <w:basedOn w:val="BodyText"/>
    <w:rsid w:val="00573F95"/>
    <w:pPr>
      <w:tabs>
        <w:tab w:val="left" w:pos="1361"/>
      </w:tabs>
      <w:spacing w:before="60" w:after="60"/>
      <w:ind w:left="1361" w:hanging="340"/>
    </w:pPr>
  </w:style>
  <w:style w:type="paragraph" w:styleId="List5">
    <w:name w:val="List 5"/>
    <w:basedOn w:val="BodyText"/>
    <w:rsid w:val="00573F95"/>
    <w:pPr>
      <w:tabs>
        <w:tab w:val="left" w:pos="1701"/>
      </w:tabs>
      <w:spacing w:before="60" w:after="60"/>
      <w:ind w:left="1701" w:hanging="340"/>
    </w:pPr>
  </w:style>
  <w:style w:type="paragraph" w:styleId="ListBullet3">
    <w:name w:val="List Bullet 3"/>
    <w:basedOn w:val="List3"/>
    <w:rsid w:val="00573F95"/>
    <w:pPr>
      <w:numPr>
        <w:numId w:val="15"/>
      </w:numPr>
      <w:tabs>
        <w:tab w:val="clear" w:pos="1021"/>
      </w:tabs>
      <w:ind w:left="1037" w:hanging="357"/>
    </w:pPr>
  </w:style>
  <w:style w:type="paragraph" w:styleId="ListBullet4">
    <w:name w:val="List Bullet 4"/>
    <w:basedOn w:val="List4"/>
    <w:rsid w:val="00573F95"/>
    <w:pPr>
      <w:numPr>
        <w:numId w:val="3"/>
      </w:numPr>
      <w:tabs>
        <w:tab w:val="clear" w:pos="1361"/>
      </w:tabs>
    </w:pPr>
  </w:style>
  <w:style w:type="paragraph" w:styleId="ListBullet5">
    <w:name w:val="List Bullet 5"/>
    <w:basedOn w:val="List5"/>
    <w:rsid w:val="00573F95"/>
    <w:pPr>
      <w:numPr>
        <w:numId w:val="4"/>
      </w:numPr>
    </w:pPr>
  </w:style>
  <w:style w:type="paragraph" w:styleId="ListContinue2">
    <w:name w:val="List Continue 2"/>
    <w:basedOn w:val="List2"/>
    <w:rsid w:val="00573F95"/>
    <w:pPr>
      <w:ind w:firstLine="0"/>
    </w:pPr>
  </w:style>
  <w:style w:type="paragraph" w:styleId="ListContinue3">
    <w:name w:val="List Continue 3"/>
    <w:basedOn w:val="List3"/>
    <w:rsid w:val="00573F95"/>
    <w:pPr>
      <w:ind w:left="1021" w:firstLine="0"/>
    </w:pPr>
  </w:style>
  <w:style w:type="paragraph" w:styleId="ListContinue4">
    <w:name w:val="List Continue 4"/>
    <w:basedOn w:val="List4"/>
    <w:rsid w:val="00573F95"/>
    <w:pPr>
      <w:ind w:firstLine="0"/>
    </w:pPr>
  </w:style>
  <w:style w:type="paragraph" w:styleId="ListContinue5">
    <w:name w:val="List Continue 5"/>
    <w:basedOn w:val="List5"/>
    <w:rsid w:val="00573F95"/>
    <w:pPr>
      <w:ind w:firstLine="0"/>
    </w:pPr>
  </w:style>
  <w:style w:type="paragraph" w:styleId="ListNumber3">
    <w:name w:val="List Number 3"/>
    <w:basedOn w:val="List3"/>
    <w:rsid w:val="00573F95"/>
    <w:pPr>
      <w:numPr>
        <w:numId w:val="5"/>
      </w:numPr>
    </w:pPr>
  </w:style>
  <w:style w:type="paragraph" w:styleId="ListNumber4">
    <w:name w:val="List Number 4"/>
    <w:basedOn w:val="List4"/>
    <w:rsid w:val="00573F95"/>
    <w:pPr>
      <w:numPr>
        <w:numId w:val="6"/>
      </w:numPr>
    </w:pPr>
  </w:style>
  <w:style w:type="paragraph" w:styleId="ListNumber5">
    <w:name w:val="List Number 5"/>
    <w:basedOn w:val="List5"/>
    <w:rsid w:val="00573F95"/>
    <w:pPr>
      <w:numPr>
        <w:numId w:val="7"/>
      </w:numPr>
    </w:pPr>
  </w:style>
  <w:style w:type="paragraph" w:styleId="BlockText">
    <w:name w:val="Block Text"/>
    <w:basedOn w:val="Normal"/>
    <w:rsid w:val="00573F95"/>
    <w:pPr>
      <w:spacing w:after="120"/>
      <w:ind w:left="1440" w:right="1440"/>
    </w:pPr>
  </w:style>
  <w:style w:type="character" w:customStyle="1" w:styleId="Subscript">
    <w:name w:val="Subscript"/>
    <w:basedOn w:val="DefaultParagraphFont"/>
    <w:rsid w:val="00573F95"/>
    <w:rPr>
      <w:sz w:val="16"/>
      <w:vertAlign w:val="subscript"/>
    </w:rPr>
  </w:style>
  <w:style w:type="character" w:customStyle="1" w:styleId="Superscript">
    <w:name w:val="Superscript"/>
    <w:basedOn w:val="DefaultParagraphFont"/>
    <w:rsid w:val="00573F95"/>
    <w:rPr>
      <w:sz w:val="16"/>
      <w:vertAlign w:val="superscript"/>
    </w:rPr>
  </w:style>
  <w:style w:type="character" w:customStyle="1" w:styleId="Symbols">
    <w:name w:val="Symbols"/>
    <w:basedOn w:val="DefaultParagraphFont"/>
    <w:rsid w:val="00573F95"/>
    <w:rPr>
      <w:rFonts w:ascii="Symbol" w:hAnsi="Symbol"/>
    </w:rPr>
  </w:style>
  <w:style w:type="character" w:customStyle="1" w:styleId="MenuOptions">
    <w:name w:val="Menu Options"/>
    <w:basedOn w:val="DefaultParagraphFont"/>
    <w:rsid w:val="00573F95"/>
    <w:rPr>
      <w:rFonts w:ascii="Arial Narrow" w:hAnsi="Arial Narrow"/>
      <w:smallCaps/>
    </w:rPr>
  </w:style>
  <w:style w:type="character" w:customStyle="1" w:styleId="Buttons">
    <w:name w:val="Buttons"/>
    <w:basedOn w:val="DefaultParagraphFont"/>
    <w:rsid w:val="00573F95"/>
    <w:rPr>
      <w:b/>
    </w:rPr>
  </w:style>
  <w:style w:type="character" w:customStyle="1" w:styleId="Underlined">
    <w:name w:val="Underlined"/>
    <w:basedOn w:val="DefaultParagraphFont"/>
    <w:rsid w:val="00573F95"/>
    <w:rPr>
      <w:u w:val="single"/>
    </w:rPr>
  </w:style>
  <w:style w:type="paragraph" w:customStyle="1" w:styleId="TableBodyTextRight">
    <w:name w:val="Table Body Text Right"/>
    <w:basedOn w:val="TableBodyText"/>
    <w:rsid w:val="00573F95"/>
    <w:pPr>
      <w:widowControl w:val="0"/>
      <w:autoSpaceDE w:val="0"/>
      <w:autoSpaceDN w:val="0"/>
      <w:adjustRightInd w:val="0"/>
      <w:jc w:val="right"/>
    </w:pPr>
    <w:rPr>
      <w:rFonts w:cs="Arial"/>
      <w:szCs w:val="18"/>
    </w:rPr>
  </w:style>
  <w:style w:type="paragraph" w:customStyle="1" w:styleId="CopyrightText">
    <w:name w:val="Copyright Text"/>
    <w:basedOn w:val="BodyText"/>
    <w:rsid w:val="00573F95"/>
    <w:rPr>
      <w:sz w:val="18"/>
    </w:rPr>
  </w:style>
  <w:style w:type="paragraph" w:customStyle="1" w:styleId="BodySmallRight">
    <w:name w:val="Body Small Right"/>
    <w:basedOn w:val="BodyTextRight"/>
    <w:rsid w:val="00573F95"/>
    <w:rPr>
      <w:sz w:val="18"/>
      <w:szCs w:val="18"/>
    </w:rPr>
  </w:style>
  <w:style w:type="paragraph" w:customStyle="1" w:styleId="MarginEdition">
    <w:name w:val="Margin Edition"/>
    <w:basedOn w:val="MarginNote"/>
    <w:rsid w:val="00573F95"/>
    <w:pPr>
      <w:spacing w:before="0" w:after="0"/>
    </w:pPr>
    <w:rPr>
      <w:rFonts w:ascii="Times New Roman" w:hAnsi="Times New Roman"/>
      <w:color w:val="999999"/>
    </w:rPr>
  </w:style>
  <w:style w:type="paragraph" w:customStyle="1" w:styleId="Spacer">
    <w:name w:val="Spacer"/>
    <w:basedOn w:val="Normal"/>
    <w:rsid w:val="00573F95"/>
    <w:rPr>
      <w:sz w:val="2"/>
      <w:szCs w:val="2"/>
    </w:rPr>
  </w:style>
  <w:style w:type="character" w:customStyle="1" w:styleId="Small">
    <w:name w:val="Small"/>
    <w:basedOn w:val="DefaultParagraphFont"/>
    <w:rsid w:val="00573F95"/>
    <w:rPr>
      <w:sz w:val="16"/>
    </w:rPr>
  </w:style>
  <w:style w:type="paragraph" w:customStyle="1" w:styleId="WideTable">
    <w:name w:val="Wide Table"/>
    <w:basedOn w:val="Normal"/>
    <w:rsid w:val="00573F95"/>
    <w:pPr>
      <w:ind w:left="-1418"/>
    </w:pPr>
    <w:rPr>
      <w:sz w:val="2"/>
      <w:szCs w:val="2"/>
    </w:rPr>
  </w:style>
  <w:style w:type="character" w:styleId="PageNumber">
    <w:name w:val="page number"/>
    <w:basedOn w:val="DefaultParagraphFont"/>
    <w:rsid w:val="00573F95"/>
  </w:style>
  <w:style w:type="paragraph" w:styleId="Quote">
    <w:name w:val="Quote"/>
    <w:basedOn w:val="Heading1"/>
    <w:link w:val="QuoteChar"/>
    <w:qFormat/>
    <w:rsid w:val="00573F95"/>
    <w:rPr>
      <w:b w:val="0"/>
      <w:sz w:val="72"/>
      <w:szCs w:val="72"/>
      <w:lang w:val="en-NZ"/>
    </w:rPr>
  </w:style>
  <w:style w:type="character" w:customStyle="1" w:styleId="QuoteChar">
    <w:name w:val="Quote Char"/>
    <w:basedOn w:val="DefaultParagraphFont"/>
    <w:link w:val="Quote"/>
    <w:rsid w:val="00573F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3F95"/>
    <w:pPr>
      <w:pageBreakBefore/>
    </w:pPr>
  </w:style>
  <w:style w:type="paragraph" w:customStyle="1" w:styleId="Border">
    <w:name w:val="Border"/>
    <w:basedOn w:val="Normal"/>
    <w:qFormat/>
    <w:rsid w:val="00573F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3F95"/>
    <w:rPr>
      <w:b/>
      <w:bCs/>
      <w:i/>
      <w:iCs/>
      <w:color w:val="auto"/>
    </w:rPr>
  </w:style>
  <w:style w:type="paragraph" w:styleId="IntenseQuote">
    <w:name w:val="Intense Quote"/>
    <w:basedOn w:val="Normal"/>
    <w:next w:val="Normal"/>
    <w:link w:val="IntenseQuoteChar"/>
    <w:uiPriority w:val="30"/>
    <w:qFormat/>
    <w:rsid w:val="00573F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3F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3F95"/>
    <w:rPr>
      <w:smallCaps/>
      <w:color w:val="auto"/>
      <w:u w:val="single"/>
    </w:rPr>
  </w:style>
  <w:style w:type="character" w:styleId="IntenseReference">
    <w:name w:val="Intense Reference"/>
    <w:basedOn w:val="DefaultParagraphFont"/>
    <w:uiPriority w:val="32"/>
    <w:qFormat/>
    <w:rsid w:val="00573F95"/>
    <w:rPr>
      <w:b/>
      <w:bCs/>
      <w:smallCaps/>
      <w:color w:val="auto"/>
      <w:spacing w:val="5"/>
      <w:u w:val="single"/>
    </w:rPr>
  </w:style>
  <w:style w:type="paragraph" w:customStyle="1" w:styleId="2ColumnHeading">
    <w:name w:val="2Column Heading"/>
    <w:basedOn w:val="BodyText"/>
    <w:qFormat/>
    <w:rsid w:val="00573F95"/>
    <w:pPr>
      <w:spacing w:after="60"/>
      <w:ind w:left="-2268"/>
    </w:pPr>
    <w:rPr>
      <w:b/>
    </w:rPr>
  </w:style>
  <w:style w:type="paragraph" w:customStyle="1" w:styleId="Heading1TOC">
    <w:name w:val="Heading1 TOC"/>
    <w:basedOn w:val="Normal"/>
    <w:qFormat/>
    <w:rsid w:val="00573F95"/>
    <w:pPr>
      <w:spacing w:before="240" w:after="120"/>
    </w:pPr>
    <w:rPr>
      <w:rFonts w:ascii="Times New Roman" w:hAnsi="Times New Roman"/>
      <w:b/>
      <w:sz w:val="32"/>
    </w:rPr>
  </w:style>
  <w:style w:type="paragraph" w:customStyle="1" w:styleId="Heading2TOC">
    <w:name w:val="Heading2 TOC"/>
    <w:basedOn w:val="Normal"/>
    <w:qFormat/>
    <w:rsid w:val="00573F95"/>
    <w:pPr>
      <w:spacing w:before="240" w:after="60"/>
    </w:pPr>
    <w:rPr>
      <w:rFonts w:ascii="Times New Roman" w:hAnsi="Times New Roman"/>
      <w:b/>
      <w:sz w:val="28"/>
    </w:rPr>
  </w:style>
  <w:style w:type="character" w:customStyle="1" w:styleId="Underline">
    <w:name w:val="Underline"/>
    <w:basedOn w:val="DefaultParagraphFont"/>
    <w:qFormat/>
    <w:rsid w:val="00573F95"/>
    <w:rPr>
      <w:u w:val="single"/>
    </w:rPr>
  </w:style>
  <w:style w:type="character" w:customStyle="1" w:styleId="BoldandItalics">
    <w:name w:val="Bold and Italics"/>
    <w:qFormat/>
    <w:rsid w:val="00573F95"/>
    <w:rPr>
      <w:b/>
      <w:i/>
      <w:u w:val="none"/>
    </w:rPr>
  </w:style>
  <w:style w:type="paragraph" w:styleId="BalloonText">
    <w:name w:val="Balloon Text"/>
    <w:basedOn w:val="Normal"/>
    <w:link w:val="BalloonTextChar"/>
    <w:rsid w:val="00573F95"/>
    <w:rPr>
      <w:rFonts w:ascii="Tahoma" w:hAnsi="Tahoma" w:cs="Tahoma"/>
      <w:sz w:val="16"/>
      <w:szCs w:val="16"/>
    </w:rPr>
  </w:style>
  <w:style w:type="character" w:customStyle="1" w:styleId="BalloonTextChar">
    <w:name w:val="Balloon Text Char"/>
    <w:basedOn w:val="DefaultParagraphFont"/>
    <w:link w:val="BalloonText"/>
    <w:rsid w:val="00573F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3F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3F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3F95"/>
    <w:rPr>
      <w:b/>
      <w:color w:val="660033"/>
      <w:spacing w:val="0"/>
    </w:rPr>
  </w:style>
  <w:style w:type="paragraph" w:customStyle="1" w:styleId="Nameditemlist">
    <w:name w:val="Named item list"/>
    <w:basedOn w:val="BodyText"/>
    <w:qFormat/>
    <w:rsid w:val="00573F9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649</Words>
  <Characters>4545</Characters>
  <Application>Microsoft Office Word</Application>
  <DocSecurity>0</DocSecurity>
  <Lines>217</Lines>
  <Paragraphs>133</Paragraphs>
  <ScaleCrop>false</ScaleCrop>
  <Company>Author-it Software Corporation Ltd.</Company>
  <LinksUpToDate>false</LinksUpToDate>
  <CharactersWithSpaces>5161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MSFFDT5014 Investigate legal requirements for design</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2016-12-09T03:26:00Z</dcterms:created>
  <dcterms:modified xsi:type="dcterms:W3CDTF">2016-12-09T03:26:00Z</dcterms:modified>
</cp:coreProperties>
</file>