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780" w:rsidP="00926780">
      <w:pPr>
        <w:pStyle w:val="Title"/>
      </w:pPr>
      <w:r>
        <w:fldChar w:fldCharType="begin"/>
      </w:r>
      <w:r>
        <w:instrText xml:space="preserve"> TITLE   \* MERGEFORMAT </w:instrText>
      </w:r>
      <w:r>
        <w:fldChar w:fldCharType="separate"/>
      </w:r>
      <w:r>
        <w:t>MSFFDT5011 Assess economic impact of a design</w:t>
      </w:r>
      <w:r>
        <w:fldChar w:fldCharType="end"/>
      </w:r>
    </w:p>
    <w:p w:rsidR="00926780" w:rsidP="00926780">
      <w:pPr>
        <w:pStyle w:val="Version"/>
        <w:sectPr w:rsidSect="00175B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B61" w:rsidP="00175B61">
      <w:pPr>
        <w:pStyle w:val="SuperHeading"/>
      </w:pPr>
      <w:r w:rsidRPr="00175B61">
        <w:t>MSFFDT5011 Assess economic impact of a design</w:t>
      </w:r>
    </w:p>
    <w:p w:rsidR="00000000" w:rsidRPr="00175B61" w:rsidP="00175B61">
      <w:pPr>
        <w:pStyle w:val="Heading1"/>
      </w:pPr>
      <w:bookmarkStart w:id="1" w:name="O_631913"/>
      <w:bookmarkEnd w:id="1"/>
      <w:r w:rsidRPr="00175B61">
        <w:t>Modification History</w:t>
      </w:r>
    </w:p>
    <w:p w:rsidR="00000000" w:rsidRPr="00175B61" w:rsidP="00926780">
      <w:pPr>
        <w:pStyle w:val="BodyText"/>
      </w:pPr>
      <w:r w:rsidRPr="00175B61">
        <w:t>Release 1 - New unit of competency</w:t>
      </w:r>
    </w:p>
    <w:p w:rsidR="00000000" w:rsidRPr="00175B61" w:rsidP="00175B61">
      <w:pPr>
        <w:pStyle w:val="Heading1"/>
      </w:pPr>
      <w:bookmarkStart w:id="2" w:name="O_631921"/>
      <w:bookmarkEnd w:id="2"/>
      <w:r w:rsidRPr="00175B61">
        <w:t>Application</w:t>
      </w:r>
    </w:p>
    <w:p w:rsidR="00000000" w:rsidRPr="00175B61" w:rsidP="00926780">
      <w:pPr>
        <w:pStyle w:val="BodyText"/>
      </w:pPr>
      <w:r w:rsidRPr="00175B61">
        <w:t>This unit of competency covers assessing the economic impact of a design, and recording its marketability, volume potential and competition. It applies in an indus</w:t>
      </w:r>
      <w:r w:rsidRPr="00175B61">
        <w:t xml:space="preserve">try workplace or design studio environment and involves application of skills and knowledge at a managerial level. </w:t>
      </w:r>
    </w:p>
    <w:p w:rsidR="00926780" w:rsidP="00926780">
      <w:pPr>
        <w:pStyle w:val="BodyText"/>
      </w:pPr>
      <w:r w:rsidRPr="00175B61">
        <w:t>No licensing, legislative or certification requirements apply to this unit at the time of publication.</w:t>
      </w:r>
    </w:p>
    <w:p w:rsidR="00000000" w:rsidRPr="00175B61" w:rsidP="00175B61">
      <w:pPr>
        <w:pStyle w:val="Heading1"/>
      </w:pPr>
      <w:bookmarkStart w:id="3" w:name="O_631920"/>
      <w:bookmarkEnd w:id="3"/>
      <w:r w:rsidRPr="00175B61">
        <w:t>Pre-requisite Unit</w:t>
      </w:r>
    </w:p>
    <w:p w:rsidR="00000000" w:rsidRPr="00175B61" w:rsidP="00175B61">
      <w:pPr>
        <w:pStyle w:val="Heading1"/>
      </w:pPr>
      <w:bookmarkStart w:id="4" w:name="O_631919"/>
      <w:bookmarkEnd w:id="4"/>
      <w:r w:rsidRPr="00175B61">
        <w:t>Competency Field</w:t>
      </w:r>
    </w:p>
    <w:p w:rsidR="00000000" w:rsidRPr="00175B61" w:rsidP="00175B61">
      <w:pPr>
        <w:pStyle w:val="Heading1"/>
      </w:pPr>
      <w:bookmarkStart w:id="5" w:name="O_631918"/>
      <w:bookmarkEnd w:id="5"/>
      <w:r w:rsidRPr="00175B61">
        <w:t>Unit Sector</w:t>
      </w:r>
    </w:p>
    <w:p w:rsidR="00000000" w:rsidRPr="00175B61" w:rsidP="00926780">
      <w:pPr>
        <w:pStyle w:val="BodyText"/>
      </w:pPr>
      <w:r w:rsidRPr="00175B61">
        <w:t>Furniture design and technology</w:t>
      </w:r>
    </w:p>
    <w:p w:rsidR="00000000" w:rsidRPr="00175B61" w:rsidP="00175B61">
      <w:pPr>
        <w:pStyle w:val="Heading1"/>
      </w:pPr>
      <w:bookmarkStart w:id="6" w:name="O_631917"/>
      <w:bookmarkEnd w:id="6"/>
      <w:r w:rsidRPr="00175B6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75B6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 xml:space="preserve">Performance criteria describe the performance needed to demonstrate </w:t>
            </w:r>
            <w:r w:rsidRPr="00175B61">
              <w:t>achievement of the element.</w:t>
            </w:r>
          </w:p>
        </w:tc>
      </w:tr>
      <w:tr w:rsidTr="00175B6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1</w:t>
            </w:r>
          </w:p>
        </w:tc>
        <w:tc>
          <w:tcPr>
            <w:tcW w:w="1962" w:type="dxa"/>
            <w:vMerge w:val="restart"/>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Research economic factors</w:t>
            </w:r>
          </w:p>
        </w:tc>
        <w:tc>
          <w:tcPr>
            <w:tcW w:w="77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1.1</w:t>
            </w:r>
          </w:p>
        </w:tc>
        <w:tc>
          <w:tcPr>
            <w:tcW w:w="561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Applicable work health and safety (WHS), legislative and organisational requirements relevant to assessing the economic impact of a design are verified and complied with</w:t>
            </w:r>
          </w:p>
        </w:tc>
      </w:tr>
      <w:tr w:rsidTr="00175B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1.2</w:t>
            </w:r>
          </w:p>
        </w:tc>
        <w:tc>
          <w:tcPr>
            <w:tcW w:w="561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Design brief is reviewed, confirmed and clarified with appropriate personnel</w:t>
            </w:r>
          </w:p>
        </w:tc>
      </w:tr>
      <w:tr w:rsidTr="00175B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1.3</w:t>
            </w:r>
          </w:p>
        </w:tc>
        <w:tc>
          <w:tcPr>
            <w:tcW w:w="561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Communication with others is established and maintained in accordance with WHS requirements</w:t>
            </w:r>
          </w:p>
        </w:tc>
      </w:tr>
      <w:tr w:rsidTr="00175B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1.4</w:t>
            </w:r>
          </w:p>
        </w:tc>
        <w:tc>
          <w:tcPr>
            <w:tcW w:w="561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Market research fundamentals undertaken to assess the size and nature of a market are considered and analysed</w:t>
            </w:r>
          </w:p>
        </w:tc>
      </w:tr>
      <w:tr w:rsidTr="00175B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1.5</w:t>
            </w:r>
          </w:p>
        </w:tc>
        <w:tc>
          <w:tcPr>
            <w:tcW w:w="561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Potential designed products sales volume of amount sold within a specified time period, expressed in monetary terms or in terms of the tota</w:t>
            </w:r>
            <w:r w:rsidRPr="00175B61">
              <w:t>l amount of stock or products sold f are analysed and evaluated</w:t>
            </w:r>
          </w:p>
        </w:tc>
      </w:tr>
      <w:tr w:rsidTr="00175B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1.6</w:t>
            </w:r>
          </w:p>
        </w:tc>
        <w:tc>
          <w:tcPr>
            <w:tcW w:w="561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Niche markets are discovered and analysed for cost-benefit analysis assigning monetary value to the costs and benefits (social, environmental and monetary) associated with a project for</w:t>
            </w:r>
            <w:r w:rsidRPr="00175B61">
              <w:t xml:space="preserve"> the purpose of selecting and evaluating project investment opportunities</w:t>
            </w:r>
          </w:p>
        </w:tc>
      </w:tr>
      <w:tr w:rsidTr="00175B6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2</w:t>
            </w:r>
          </w:p>
        </w:tc>
        <w:tc>
          <w:tcPr>
            <w:tcW w:w="1962" w:type="dxa"/>
            <w:vMerge w:val="restart"/>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Assess economic impact of the design</w:t>
            </w:r>
          </w:p>
        </w:tc>
        <w:tc>
          <w:tcPr>
            <w:tcW w:w="77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2.1</w:t>
            </w:r>
          </w:p>
        </w:tc>
        <w:tc>
          <w:tcPr>
            <w:tcW w:w="561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Production costs of a design are assessed and evaluated</w:t>
            </w:r>
          </w:p>
        </w:tc>
      </w:tr>
      <w:tr w:rsidTr="00175B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2.2</w:t>
            </w:r>
          </w:p>
        </w:tc>
        <w:tc>
          <w:tcPr>
            <w:tcW w:w="561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Longitudinal statistical studies of a design that produces data gathered over a period of time are undertaken to explore potential success factors</w:t>
            </w:r>
          </w:p>
        </w:tc>
      </w:tr>
      <w:tr w:rsidTr="00175B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2.3</w:t>
            </w:r>
          </w:p>
        </w:tc>
        <w:tc>
          <w:tcPr>
            <w:tcW w:w="561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Scale of production is estimated taking into account market analysis</w:t>
            </w:r>
          </w:p>
        </w:tc>
      </w:tr>
      <w:tr w:rsidTr="00175B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2.4</w:t>
            </w:r>
          </w:p>
        </w:tc>
        <w:tc>
          <w:tcPr>
            <w:tcW w:w="5610" w:type="dxa"/>
            <w:tcBorders>
              <w:top w:val="nil"/>
              <w:left w:val="nil"/>
              <w:bottom w:val="nil"/>
              <w:right w:val="nil"/>
            </w:tcBorders>
            <w:tcMar>
              <w:top w:w="0" w:type="dxa"/>
              <w:left w:w="62" w:type="dxa"/>
              <w:bottom w:w="0" w:type="dxa"/>
              <w:right w:w="62" w:type="dxa"/>
            </w:tcMar>
          </w:tcPr>
          <w:p w:rsidR="00000000" w:rsidRPr="00175B61" w:rsidP="00175B61">
            <w:pPr>
              <w:pStyle w:val="BodyText"/>
            </w:pPr>
            <w:r w:rsidRPr="00175B61">
              <w:t>Profit margins of the amount by which income exceeds expenditure, including the sale price minus the cost of production, distribution and marketing are analysed based on expected turnover</w:t>
            </w:r>
          </w:p>
          <w:p w:rsidR="00000000" w:rsidP="00175B61">
            <w:pPr>
              <w:pStyle w:val="BodyText"/>
              <w:rPr>
                <w:lang w:val="en-NZ"/>
              </w:rPr>
            </w:pPr>
            <w:r w:rsidRPr="00175B61">
              <w:t>Full costing of product, including the price point of the cost for s</w:t>
            </w:r>
            <w:r w:rsidRPr="00175B61">
              <w:t xml:space="preserve">ale placed on a product which caters to a market segment based on production costs, overheads and profit margins in relation to demand, supply and volume of sales in the market and demand for the product is conducted </w:t>
            </w:r>
          </w:p>
        </w:tc>
      </w:tr>
      <w:tr w:rsidTr="00175B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2.5</w:t>
            </w:r>
          </w:p>
        </w:tc>
        <w:tc>
          <w:tcPr>
            <w:tcW w:w="561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Competition in the market place</w:t>
            </w:r>
            <w:r w:rsidRPr="00175B61">
              <w:t xml:space="preserve"> with similar design solutions or products in that market segment are analysed and strategies reviewed</w:t>
            </w:r>
          </w:p>
        </w:tc>
      </w:tr>
      <w:tr w:rsidTr="00175B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2.6</w:t>
            </w:r>
          </w:p>
        </w:tc>
        <w:tc>
          <w:tcPr>
            <w:tcW w:w="561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Availability of resources is assessed to ascertain what impact this will have on economic viability</w:t>
            </w:r>
          </w:p>
        </w:tc>
      </w:tr>
      <w:tr w:rsidTr="00175B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2.7</w:t>
            </w:r>
          </w:p>
        </w:tc>
        <w:tc>
          <w:tcPr>
            <w:tcW w:w="561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Product lifecycle analysis is evaluated</w:t>
            </w:r>
            <w:r w:rsidRPr="00175B61">
              <w:t xml:space="preserve"> for economic significance</w:t>
            </w:r>
          </w:p>
        </w:tc>
      </w:tr>
      <w:tr w:rsidTr="00175B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2.8</w:t>
            </w:r>
          </w:p>
        </w:tc>
        <w:tc>
          <w:tcPr>
            <w:tcW w:w="561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Long-term economic impact on the business, staff and associated suppliers is analysed and strategised</w:t>
            </w:r>
          </w:p>
        </w:tc>
      </w:tr>
      <w:tr w:rsidTr="00175B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2.9</w:t>
            </w:r>
          </w:p>
        </w:tc>
        <w:tc>
          <w:tcPr>
            <w:tcW w:w="561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Intended manufacturing processes, including assembly and finishing, are assessed for their economic impact</w:t>
            </w:r>
          </w:p>
        </w:tc>
      </w:tr>
      <w:tr w:rsidTr="00175B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2.10</w:t>
            </w:r>
          </w:p>
        </w:tc>
        <w:tc>
          <w:tcPr>
            <w:tcW w:w="561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 xml:space="preserve">Final documentation outlining the full analysis of the designs economic impact is compiled and produced as a </w:t>
            </w:r>
            <w:r w:rsidRPr="00175B61">
              <w:t>report</w:t>
            </w:r>
          </w:p>
        </w:tc>
      </w:tr>
      <w:tr w:rsidTr="00175B6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2.11</w:t>
            </w:r>
          </w:p>
        </w:tc>
        <w:tc>
          <w:tcPr>
            <w:tcW w:w="5610" w:type="dxa"/>
            <w:tcBorders>
              <w:top w:val="nil"/>
              <w:left w:val="nil"/>
              <w:bottom w:val="nil"/>
              <w:right w:val="nil"/>
            </w:tcBorders>
            <w:tcMar>
              <w:top w:w="0" w:type="dxa"/>
              <w:left w:w="62" w:type="dxa"/>
              <w:bottom w:w="0" w:type="dxa"/>
              <w:right w:w="62" w:type="dxa"/>
            </w:tcMar>
          </w:tcPr>
          <w:p w:rsidR="00000000" w:rsidRPr="00175B61" w:rsidP="00175B61">
            <w:pPr>
              <w:pStyle w:val="BodyText"/>
            </w:pPr>
            <w:r w:rsidRPr="00175B61">
              <w:t>Production costs of a design are assessed and evaluated</w:t>
            </w:r>
          </w:p>
        </w:tc>
      </w:tr>
    </w:tbl>
    <w:p w:rsidR="00926780" w:rsidP="00175B61">
      <w:pPr>
        <w:pStyle w:val="BodyText"/>
      </w:pPr>
    </w:p>
    <w:p w:rsidR="00926780" w:rsidP="00175B61">
      <w:pPr>
        <w:pStyle w:val="BodyText"/>
      </w:pPr>
    </w:p>
    <w:p w:rsidR="00000000" w:rsidRPr="00175B61" w:rsidP="00175B61">
      <w:pPr>
        <w:pStyle w:val="Heading1"/>
      </w:pPr>
      <w:bookmarkStart w:id="7" w:name="O_631916"/>
      <w:bookmarkEnd w:id="7"/>
      <w:r w:rsidRPr="00175B61">
        <w:t>Foundation Skills</w:t>
      </w:r>
    </w:p>
    <w:p w:rsidR="00926780" w:rsidP="00926780">
      <w:pPr>
        <w:pStyle w:val="BodyText"/>
      </w:pPr>
      <w:r w:rsidRPr="00175B61">
        <w:t>Foundation skills essential to performance are explicit in the performance criteria of this unit of competency. Detail on appropriate performance levels for each furnishing unit of competency in reading, writing, oral communication and numeracy utilising t</w:t>
      </w:r>
      <w:r w:rsidRPr="00175B61">
        <w:t xml:space="preserve">he Australian Core Skills Framework (ACSF) are provided in the Furnishing Training Package Implementation Guide. </w:t>
      </w:r>
    </w:p>
    <w:p w:rsidR="00000000" w:rsidRPr="00175B61" w:rsidP="00175B61">
      <w:pPr>
        <w:pStyle w:val="Heading1"/>
      </w:pPr>
      <w:bookmarkStart w:id="8" w:name="O_631915"/>
      <w:bookmarkEnd w:id="8"/>
      <w:r w:rsidRPr="00175B61">
        <w:t>Range of Conditions</w:t>
      </w:r>
    </w:p>
    <w:tbl>
      <w:tblPr>
        <w:tblW w:w="0" w:type="auto"/>
        <w:tblLayout w:type="fixed"/>
        <w:tblCellMar>
          <w:left w:w="62" w:type="dxa"/>
          <w:right w:w="62" w:type="dxa"/>
        </w:tblCellMar>
        <w:tblLook w:val="0000"/>
      </w:tblPr>
      <w:tblGrid>
        <w:gridCol w:w="2760"/>
        <w:gridCol w:w="6312"/>
      </w:tblGrid>
      <w:tr w:rsidTr="00175B6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t>Specifies different work environments and conditions that may affect performance. Essential operating co</w:t>
            </w:r>
            <w:r w:rsidRPr="00175B61">
              <w:t>nditions that may be present (depending on the work situation, needs of the candidate, accessibility of the item, and local industry and regional contexts) are included. Range is restricted to essential operating conditions and any other variables essentia</w:t>
            </w:r>
            <w:r w:rsidRPr="00175B61">
              <w:t>l to the work environment.</w:t>
            </w:r>
          </w:p>
        </w:tc>
      </w:tr>
      <w:tr w:rsidTr="00175B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175B61" w:rsidP="00175B61">
            <w:pPr>
              <w:pStyle w:val="ListBullet"/>
            </w:pPr>
            <w:r w:rsidRPr="00175B61">
              <w:t xml:space="preserve">legal, organisational and site guidelines </w:t>
            </w:r>
          </w:p>
          <w:p w:rsidR="00000000" w:rsidRPr="00175B61" w:rsidP="00175B61">
            <w:pPr>
              <w:pStyle w:val="ListBullet"/>
            </w:pPr>
            <w:r w:rsidRPr="00175B61">
              <w:t>policies and procedures relating to own role and responsibility</w:t>
            </w:r>
          </w:p>
          <w:p w:rsidR="00000000" w:rsidRPr="00175B61" w:rsidP="00175B61">
            <w:pPr>
              <w:pStyle w:val="ListBullet"/>
            </w:pPr>
            <w:r w:rsidRPr="00175B61">
              <w:t xml:space="preserve">quality assurance </w:t>
            </w:r>
          </w:p>
          <w:p w:rsidR="00000000" w:rsidRPr="00175B61" w:rsidP="00175B61">
            <w:pPr>
              <w:pStyle w:val="ListBullet"/>
            </w:pPr>
            <w:r w:rsidRPr="00175B61">
              <w:t>procedural manuals</w:t>
            </w:r>
          </w:p>
          <w:p w:rsidR="00000000" w:rsidRPr="00175B61" w:rsidP="00175B61">
            <w:pPr>
              <w:pStyle w:val="ListBullet"/>
            </w:pPr>
            <w:r w:rsidRPr="00175B61">
              <w:t>quality and continuous improvement processes</w:t>
            </w:r>
            <w:r w:rsidRPr="00175B61">
              <w:t xml:space="preserve"> and standards</w:t>
            </w:r>
          </w:p>
          <w:p w:rsidR="00000000" w:rsidRPr="00175B61" w:rsidP="00175B61">
            <w:pPr>
              <w:pStyle w:val="ListBullet"/>
            </w:pPr>
            <w:r w:rsidRPr="00175B61">
              <w:t xml:space="preserve">WHS, emergency and evacuation requirements </w:t>
            </w:r>
          </w:p>
          <w:p w:rsidR="00000000" w:rsidRPr="00175B61" w:rsidP="00175B61">
            <w:pPr>
              <w:pStyle w:val="ListBullet"/>
            </w:pPr>
            <w:r w:rsidRPr="00175B61">
              <w:t xml:space="preserve">ethical standards </w:t>
            </w:r>
          </w:p>
          <w:p w:rsidR="00000000" w:rsidRPr="00175B61" w:rsidP="00175B61">
            <w:pPr>
              <w:pStyle w:val="ListBullet"/>
            </w:pPr>
            <w:r w:rsidRPr="00175B61">
              <w:t>recording and reporting</w:t>
            </w:r>
          </w:p>
          <w:p w:rsidR="00000000" w:rsidRPr="00175B61" w:rsidP="00175B61">
            <w:pPr>
              <w:pStyle w:val="ListBullet"/>
            </w:pPr>
            <w:r w:rsidRPr="00175B61">
              <w:t xml:space="preserve">access and equity principles and practices </w:t>
            </w:r>
          </w:p>
          <w:p w:rsidR="00000000" w:rsidRPr="00175B61" w:rsidP="00175B61">
            <w:pPr>
              <w:pStyle w:val="ListBullet"/>
            </w:pPr>
            <w:r w:rsidRPr="00175B61">
              <w:t xml:space="preserve">equipment use, maintenance and storage </w:t>
            </w:r>
          </w:p>
          <w:p w:rsidR="00000000" w:rsidP="00175B61">
            <w:pPr>
              <w:pStyle w:val="ListBullet"/>
              <w:rPr>
                <w:lang w:val="en-NZ"/>
              </w:rPr>
            </w:pPr>
            <w:r w:rsidRPr="00175B61">
              <w:t>environmental management (waste disposal, recycling and re-use guidelines)</w:t>
            </w:r>
          </w:p>
        </w:tc>
      </w:tr>
      <w:tr w:rsidTr="00175B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175B61" w:rsidP="00175B61">
            <w:pPr>
              <w:pStyle w:val="ListBullet"/>
            </w:pPr>
            <w:r w:rsidRPr="00175B61">
              <w:t xml:space="preserve">the aims, objectives, milestones for the design project </w:t>
            </w:r>
          </w:p>
          <w:p w:rsidR="00000000" w:rsidRPr="00175B61" w:rsidP="00175B61">
            <w:pPr>
              <w:pStyle w:val="ListBullet"/>
            </w:pPr>
            <w:r w:rsidRPr="00175B61">
              <w:t>organisational or personal profiles</w:t>
            </w:r>
          </w:p>
          <w:p w:rsidR="00000000" w:rsidRPr="00175B61" w:rsidP="00175B61">
            <w:pPr>
              <w:pStyle w:val="ListBullet"/>
            </w:pPr>
            <w:r w:rsidRPr="00175B61">
              <w:t xml:space="preserve">target audience </w:t>
            </w:r>
          </w:p>
          <w:p w:rsidR="00000000" w:rsidRPr="00175B61" w:rsidP="00175B61">
            <w:pPr>
              <w:pStyle w:val="ListBullet"/>
            </w:pPr>
            <w:r w:rsidRPr="00175B61">
              <w:t xml:space="preserve">budget </w:t>
            </w:r>
          </w:p>
          <w:p w:rsidR="00000000" w:rsidRPr="00175B61" w:rsidP="00175B61">
            <w:pPr>
              <w:pStyle w:val="ListBullet"/>
            </w:pPr>
            <w:r w:rsidRPr="00175B61">
              <w:t xml:space="preserve">timeline </w:t>
            </w:r>
          </w:p>
          <w:p w:rsidR="00000000" w:rsidRPr="00175B61" w:rsidP="00175B61">
            <w:pPr>
              <w:pStyle w:val="ListBullet"/>
            </w:pPr>
            <w:r w:rsidRPr="00175B61">
              <w:t xml:space="preserve">consultation requirements </w:t>
            </w:r>
          </w:p>
          <w:p w:rsidR="00000000" w:rsidRPr="00175B61" w:rsidP="00175B61">
            <w:pPr>
              <w:pStyle w:val="ListBullet"/>
            </w:pPr>
            <w:r w:rsidRPr="00175B61">
              <w:t>c</w:t>
            </w:r>
            <w:r w:rsidRPr="00175B61">
              <w:t xml:space="preserve">olour requirements </w:t>
            </w:r>
          </w:p>
          <w:p w:rsidR="00000000" w:rsidRPr="00175B61" w:rsidP="00175B61">
            <w:pPr>
              <w:pStyle w:val="ListBullet"/>
            </w:pPr>
            <w:r w:rsidRPr="00175B61">
              <w:t xml:space="preserve">image requirements </w:t>
            </w:r>
          </w:p>
          <w:p w:rsidR="00000000" w:rsidP="00175B61">
            <w:pPr>
              <w:pStyle w:val="ListBullet"/>
              <w:rPr>
                <w:lang w:val="en-NZ"/>
              </w:rPr>
            </w:pPr>
            <w:r w:rsidRPr="00175B61">
              <w:t>function</w:t>
            </w:r>
          </w:p>
        </w:tc>
      </w:tr>
      <w:tr w:rsidTr="00175B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175B61" w:rsidP="00175B61">
            <w:pPr>
              <w:pStyle w:val="ListBullet"/>
            </w:pPr>
            <w:r w:rsidRPr="00175B61">
              <w:t xml:space="preserve">trainers </w:t>
            </w:r>
          </w:p>
          <w:p w:rsidR="00000000" w:rsidRPr="00175B61" w:rsidP="00175B61">
            <w:pPr>
              <w:pStyle w:val="ListBullet"/>
            </w:pPr>
            <w:r w:rsidRPr="00175B61">
              <w:t>supervisors</w:t>
            </w:r>
          </w:p>
          <w:p w:rsidR="00000000" w:rsidRPr="00175B61" w:rsidP="00175B61">
            <w:pPr>
              <w:pStyle w:val="ListBullet"/>
            </w:pPr>
            <w:r w:rsidRPr="00175B61">
              <w:t xml:space="preserve">suppliers </w:t>
            </w:r>
          </w:p>
          <w:p w:rsidR="00000000" w:rsidRPr="00175B61" w:rsidP="00175B61">
            <w:pPr>
              <w:pStyle w:val="ListBullet"/>
            </w:pPr>
            <w:r w:rsidRPr="00175B61">
              <w:t>clients</w:t>
            </w:r>
          </w:p>
          <w:p w:rsidR="00000000" w:rsidRPr="00175B61" w:rsidP="00175B61">
            <w:pPr>
              <w:pStyle w:val="ListBullet"/>
            </w:pPr>
            <w:r w:rsidRPr="00175B61">
              <w:t xml:space="preserve">colleagues </w:t>
            </w:r>
          </w:p>
          <w:p w:rsidR="00000000" w:rsidP="00175B61">
            <w:pPr>
              <w:pStyle w:val="ListBullet"/>
              <w:rPr>
                <w:lang w:val="en-NZ"/>
              </w:rPr>
            </w:pPr>
            <w:r w:rsidRPr="00175B61">
              <w:t>managers</w:t>
            </w:r>
          </w:p>
        </w:tc>
      </w:tr>
      <w:tr w:rsidTr="00175B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rPr>
                <w:rStyle w:val="SpecialBold"/>
              </w:rPr>
              <w:t>Niche markets include:</w:t>
            </w:r>
          </w:p>
        </w:tc>
        <w:tc>
          <w:tcPr>
            <w:tcW w:w="6312" w:type="dxa"/>
            <w:tcBorders>
              <w:top w:val="nil"/>
              <w:left w:val="nil"/>
              <w:bottom w:val="nil"/>
              <w:right w:val="nil"/>
            </w:tcBorders>
            <w:tcMar>
              <w:top w:w="0" w:type="dxa"/>
              <w:left w:w="62" w:type="dxa"/>
              <w:bottom w:w="0" w:type="dxa"/>
              <w:right w:w="62" w:type="dxa"/>
            </w:tcMar>
          </w:tcPr>
          <w:p w:rsidR="00000000" w:rsidP="00175B61">
            <w:pPr>
              <w:pStyle w:val="ListBullet"/>
              <w:rPr>
                <w:lang w:val="en-NZ"/>
              </w:rPr>
            </w:pPr>
            <w:r w:rsidRPr="00175B61">
              <w:t xml:space="preserve">a very specific market segment within a broader segment of the market that involves </w:t>
            </w:r>
            <w:r w:rsidRPr="00175B61">
              <w:t>the provision of specialist products where relatively few or no competitors exist</w:t>
            </w:r>
          </w:p>
        </w:tc>
      </w:tr>
      <w:tr w:rsidTr="00175B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175B61" w:rsidP="00175B61">
            <w:pPr>
              <w:pStyle w:val="ListBullet"/>
            </w:pPr>
            <w:r w:rsidRPr="00175B61">
              <w:t xml:space="preserve">materials </w:t>
            </w:r>
          </w:p>
          <w:p w:rsidR="00000000" w:rsidRPr="00175B61" w:rsidP="00175B61">
            <w:pPr>
              <w:pStyle w:val="ListBullet"/>
            </w:pPr>
            <w:r w:rsidRPr="00175B61">
              <w:t>personnel</w:t>
            </w:r>
          </w:p>
          <w:p w:rsidR="00000000" w:rsidRPr="00175B61" w:rsidP="00175B61">
            <w:pPr>
              <w:pStyle w:val="ListBullet"/>
            </w:pPr>
            <w:r w:rsidRPr="00175B61">
              <w:t xml:space="preserve">equipment </w:t>
            </w:r>
          </w:p>
          <w:p w:rsidR="00000000" w:rsidP="00175B61">
            <w:pPr>
              <w:pStyle w:val="ListBullet"/>
              <w:rPr>
                <w:lang w:val="en-NZ"/>
              </w:rPr>
            </w:pPr>
            <w:r w:rsidRPr="00175B61">
              <w:t>systems</w:t>
            </w:r>
          </w:p>
        </w:tc>
      </w:tr>
      <w:tr w:rsidTr="00175B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rPr>
                <w:rStyle w:val="SpecialBold"/>
              </w:rPr>
              <w:t>Product lifecycle includes:</w:t>
            </w:r>
          </w:p>
        </w:tc>
        <w:tc>
          <w:tcPr>
            <w:tcW w:w="6312" w:type="dxa"/>
            <w:tcBorders>
              <w:top w:val="nil"/>
              <w:left w:val="nil"/>
              <w:bottom w:val="nil"/>
              <w:right w:val="nil"/>
            </w:tcBorders>
            <w:tcMar>
              <w:top w:w="0" w:type="dxa"/>
              <w:left w:w="62" w:type="dxa"/>
              <w:bottom w:w="0" w:type="dxa"/>
              <w:right w:w="62" w:type="dxa"/>
            </w:tcMar>
          </w:tcPr>
          <w:p w:rsidR="00000000" w:rsidP="00175B61">
            <w:pPr>
              <w:pStyle w:val="ListBullet"/>
              <w:rPr>
                <w:lang w:val="en-NZ"/>
              </w:rPr>
            </w:pPr>
            <w:r w:rsidRPr="00175B61">
              <w:t>the evolution of a product from its raw source, through its inception, development, manufacture, completion and time as a completed product until potential renewal</w:t>
            </w:r>
          </w:p>
        </w:tc>
      </w:tr>
      <w:tr w:rsidTr="00175B61">
        <w:tblPrEx>
          <w:tblW w:w="0" w:type="auto"/>
          <w:tblLayout w:type="fixed"/>
          <w:tblCellMar>
            <w:left w:w="62" w:type="dxa"/>
            <w:right w:w="62" w:type="dxa"/>
          </w:tblCellMar>
          <w:tblLook w:val="0000"/>
        </w:tblPrEx>
        <w:trPr>
          <w:trHeight w:val="499"/>
        </w:trPr>
        <w:tc>
          <w:tcPr>
            <w:tcW w:w="276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175B61">
            <w:pPr>
              <w:pStyle w:val="ListBullet"/>
              <w:rPr>
                <w:lang w:val="en-NZ"/>
              </w:rPr>
            </w:pPr>
            <w:r w:rsidRPr="00175B61">
              <w:t xml:space="preserve">the methods by which the product will be produced, these </w:t>
            </w:r>
            <w:r w:rsidRPr="00175B61">
              <w:t>steps entail working from working drawings and specifications, producing components utilising machine operations, assembly of the components and finishing techniques</w:t>
            </w:r>
          </w:p>
        </w:tc>
      </w:tr>
      <w:tr w:rsidTr="00175B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5B61">
            <w:pPr>
              <w:pStyle w:val="BodyText"/>
              <w:rPr>
                <w:lang w:val="en-NZ"/>
              </w:rPr>
            </w:pPr>
            <w:r w:rsidRPr="00175B61">
              <w:rPr>
                <w:rStyle w:val="SpecialBold"/>
              </w:rPr>
              <w:t>Assembly methods include:</w:t>
            </w:r>
          </w:p>
        </w:tc>
        <w:tc>
          <w:tcPr>
            <w:tcW w:w="6312" w:type="dxa"/>
            <w:tcBorders>
              <w:top w:val="nil"/>
              <w:left w:val="nil"/>
              <w:bottom w:val="nil"/>
              <w:right w:val="nil"/>
            </w:tcBorders>
            <w:tcMar>
              <w:top w:w="0" w:type="dxa"/>
              <w:left w:w="62" w:type="dxa"/>
              <w:bottom w:w="0" w:type="dxa"/>
              <w:right w:w="62" w:type="dxa"/>
            </w:tcMar>
          </w:tcPr>
          <w:p w:rsidR="00000000" w:rsidRPr="00175B61" w:rsidP="00175B61">
            <w:pPr>
              <w:pStyle w:val="ListBullet"/>
            </w:pPr>
            <w:r w:rsidRPr="00175B61">
              <w:t>nailing</w:t>
            </w:r>
          </w:p>
          <w:p w:rsidR="00000000" w:rsidRPr="00175B61" w:rsidP="00175B61">
            <w:pPr>
              <w:pStyle w:val="ListBullet"/>
            </w:pPr>
            <w:r w:rsidRPr="00175B61">
              <w:t>gluing</w:t>
            </w:r>
          </w:p>
          <w:p w:rsidR="00000000" w:rsidRPr="00175B61" w:rsidP="00175B61">
            <w:pPr>
              <w:pStyle w:val="ListBullet"/>
            </w:pPr>
            <w:r w:rsidRPr="00175B61">
              <w:t>screwing</w:t>
            </w:r>
          </w:p>
          <w:p w:rsidR="00000000" w:rsidRPr="00175B61" w:rsidP="00175B61">
            <w:pPr>
              <w:pStyle w:val="ListBullet"/>
            </w:pPr>
            <w:r w:rsidRPr="00175B61">
              <w:t>welding</w:t>
            </w:r>
          </w:p>
          <w:p w:rsidR="00000000" w:rsidRPr="00175B61" w:rsidP="00175B61">
            <w:pPr>
              <w:pStyle w:val="ListBullet"/>
            </w:pPr>
            <w:r w:rsidRPr="00175B61">
              <w:t>pressing</w:t>
            </w:r>
          </w:p>
          <w:p w:rsidR="00000000" w:rsidRPr="00175B61" w:rsidP="00175B61">
            <w:pPr>
              <w:pStyle w:val="ListBullet"/>
            </w:pPr>
            <w:r w:rsidRPr="00175B61">
              <w:t>sewing</w:t>
            </w:r>
          </w:p>
          <w:p w:rsidR="00000000" w:rsidRPr="00175B61" w:rsidP="00175B61">
            <w:pPr>
              <w:pStyle w:val="ListBullet"/>
            </w:pPr>
            <w:r w:rsidRPr="00175B61">
              <w:t>bonding</w:t>
            </w:r>
          </w:p>
          <w:p w:rsidR="00000000" w:rsidRPr="00175B61" w:rsidP="00175B61">
            <w:pPr>
              <w:pStyle w:val="ListBullet"/>
            </w:pPr>
            <w:r w:rsidRPr="00175B61">
              <w:t xml:space="preserve">jointing </w:t>
            </w:r>
          </w:p>
          <w:p w:rsidR="00000000" w:rsidP="00175B61">
            <w:pPr>
              <w:pStyle w:val="ListBullet"/>
              <w:rPr>
                <w:lang w:val="en-NZ"/>
              </w:rPr>
            </w:pPr>
            <w:r w:rsidRPr="00175B61">
              <w:t>other methods of connecting various materials</w:t>
            </w:r>
          </w:p>
        </w:tc>
      </w:tr>
      <w:tr w:rsidTr="00175B6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75B61" w:rsidP="00175B61">
            <w:pPr>
              <w:pStyle w:val="BodyText"/>
            </w:pPr>
            <w:r w:rsidRPr="00175B61">
              <w:rPr>
                <w:rStyle w:val="SpecialBold"/>
              </w:rPr>
              <w:t>Finishing includes:</w:t>
            </w:r>
          </w:p>
          <w:p w:rsidR="00000000" w:rsidP="00175B6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75B61" w:rsidP="00175B61">
            <w:pPr>
              <w:pStyle w:val="ListBullet"/>
            </w:pPr>
            <w:r w:rsidRPr="00175B61">
              <w:t xml:space="preserve">paints </w:t>
            </w:r>
          </w:p>
          <w:p w:rsidR="00000000" w:rsidRPr="00175B61" w:rsidP="00175B61">
            <w:pPr>
              <w:pStyle w:val="ListBullet"/>
            </w:pPr>
            <w:r w:rsidRPr="00175B61">
              <w:t>waxes</w:t>
            </w:r>
          </w:p>
          <w:p w:rsidR="00000000" w:rsidRPr="00175B61" w:rsidP="00175B61">
            <w:pPr>
              <w:pStyle w:val="ListBullet"/>
            </w:pPr>
            <w:r w:rsidRPr="00175B61">
              <w:t>lacquers</w:t>
            </w:r>
          </w:p>
          <w:p w:rsidR="00000000" w:rsidRPr="00175B61" w:rsidP="00175B61">
            <w:pPr>
              <w:pStyle w:val="ListBullet"/>
            </w:pPr>
            <w:r w:rsidRPr="00175B61">
              <w:t xml:space="preserve">stains </w:t>
            </w:r>
          </w:p>
          <w:p w:rsidR="00000000" w:rsidRPr="00175B61" w:rsidP="00175B61">
            <w:pPr>
              <w:pStyle w:val="ListBullet"/>
            </w:pPr>
            <w:r w:rsidRPr="00175B61">
              <w:t>pigments</w:t>
            </w:r>
          </w:p>
          <w:p w:rsidR="00000000" w:rsidRPr="00175B61" w:rsidP="00175B61">
            <w:pPr>
              <w:pStyle w:val="ListBullet"/>
            </w:pPr>
            <w:r w:rsidRPr="00175B61">
              <w:t xml:space="preserve">oils </w:t>
            </w:r>
          </w:p>
          <w:p w:rsidR="00000000" w:rsidRPr="00175B61" w:rsidP="00175B61">
            <w:pPr>
              <w:pStyle w:val="ListBullet"/>
            </w:pPr>
            <w:r w:rsidRPr="00175B61">
              <w:t>plastic coatings</w:t>
            </w:r>
          </w:p>
        </w:tc>
      </w:tr>
    </w:tbl>
    <w:p w:rsidR="00926780" w:rsidP="00175B61">
      <w:pPr>
        <w:pStyle w:val="BodyText"/>
      </w:pPr>
    </w:p>
    <w:p w:rsidR="00926780" w:rsidP="00175B61">
      <w:pPr>
        <w:pStyle w:val="BodyText"/>
      </w:pPr>
    </w:p>
    <w:p w:rsidR="00000000" w:rsidRPr="00175B61" w:rsidP="00175B61">
      <w:pPr>
        <w:pStyle w:val="Heading1"/>
      </w:pPr>
      <w:bookmarkStart w:id="9" w:name="O_631914"/>
      <w:bookmarkEnd w:id="9"/>
      <w:r w:rsidRPr="00175B61">
        <w:t>Unit Mapping Information</w:t>
      </w:r>
    </w:p>
    <w:p w:rsidR="00000000" w:rsidRPr="00175B61" w:rsidP="00926780">
      <w:pPr>
        <w:pStyle w:val="BodyText"/>
      </w:pPr>
      <w:r w:rsidRPr="00175B61">
        <w:t xml:space="preserve">Supersedes and is equivalent to LMFFDT6001A Assess economic impact of a design </w:t>
      </w:r>
    </w:p>
    <w:p w:rsidR="00000000" w:rsidRPr="00175B61" w:rsidP="00175B61">
      <w:pPr>
        <w:pStyle w:val="Heading1"/>
      </w:pPr>
      <w:bookmarkStart w:id="10" w:name="O_631907"/>
      <w:bookmarkEnd w:id="10"/>
      <w:r w:rsidRPr="00175B61">
        <w:t>Links</w:t>
      </w:r>
    </w:p>
    <w:p w:rsidR="00000000" w:rsidRPr="00175B61" w:rsidP="00926780">
      <w:pPr>
        <w:pStyle w:val="BodyText"/>
      </w:pPr>
      <w:r w:rsidRPr="00175B6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0382B">
        <w:rPr>
          <w:rStyle w:val="Hyperlink"/>
        </w:rPr>
        <w:t>https://vetnet.gov.au/Pages/TrainingDocs.aspx?q=0601ab95-583a-4e93-b2d4-cfb27b03ed73</w:t>
      </w:r>
      <w:r>
        <w:fldChar w:fldCharType="end"/>
      </w:r>
    </w:p>
    <w:p w:rsidR="00000000" w:rsidRPr="00175B61" w:rsidP="00175B61"/>
    <w:sectPr w:rsidSect="00175B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B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B61" w:rsidRPr="00926780" w:rsidP="009267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B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780" w:rsidP="00175B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6780" w:rsidP="00175B6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6780" w:rsidP="00175B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B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7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B61" w:rsidRPr="00926780" w:rsidP="009267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B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780" w:rsidRPr="002D2AF8" w:rsidP="00175B61">
    <w:pPr>
      <w:pStyle w:val="Header"/>
      <w:framePr w:wrap="around"/>
    </w:pPr>
    <w:r>
      <w:fldChar w:fldCharType="begin"/>
    </w:r>
    <w:r>
      <w:instrText xml:space="preserve"> TITLE   \* MERGEFORMAT </w:instrText>
    </w:r>
    <w:r>
      <w:fldChar w:fldCharType="separate"/>
    </w:r>
    <w:r>
      <w:t>MSFFDT5011 Assess economic impact of a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926780" w:rsidP="00175B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1473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183B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B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B61"/>
    <w:pPr>
      <w:spacing w:before="360" w:after="60"/>
      <w:outlineLvl w:val="0"/>
    </w:pPr>
    <w:rPr>
      <w:sz w:val="32"/>
    </w:rPr>
  </w:style>
  <w:style w:type="paragraph" w:styleId="Heading2">
    <w:name w:val="heading 2"/>
    <w:basedOn w:val="HeadingBase"/>
    <w:next w:val="BodyText"/>
    <w:link w:val="Heading2Char"/>
    <w:qFormat/>
    <w:rsid w:val="00175B61"/>
    <w:pPr>
      <w:keepLines/>
      <w:spacing w:before="240" w:after="120"/>
      <w:outlineLvl w:val="1"/>
    </w:pPr>
    <w:rPr>
      <w:sz w:val="28"/>
      <w:szCs w:val="40"/>
    </w:rPr>
  </w:style>
  <w:style w:type="paragraph" w:styleId="Heading3">
    <w:name w:val="heading 3"/>
    <w:basedOn w:val="HeadingBase"/>
    <w:next w:val="BodyText"/>
    <w:link w:val="Heading3Char"/>
    <w:qFormat/>
    <w:rsid w:val="00175B61"/>
    <w:pPr>
      <w:spacing w:before="180" w:after="120"/>
      <w:outlineLvl w:val="2"/>
    </w:pPr>
    <w:rPr>
      <w:spacing w:val="-10"/>
      <w:kern w:val="32"/>
    </w:rPr>
  </w:style>
  <w:style w:type="paragraph" w:styleId="Heading4">
    <w:name w:val="heading 4"/>
    <w:basedOn w:val="HeadingBase"/>
    <w:next w:val="BodyText"/>
    <w:link w:val="Heading4Char"/>
    <w:qFormat/>
    <w:rsid w:val="00175B61"/>
    <w:pPr>
      <w:spacing w:before="160" w:after="120"/>
      <w:outlineLvl w:val="3"/>
    </w:pPr>
    <w:rPr>
      <w:sz w:val="22"/>
    </w:rPr>
  </w:style>
  <w:style w:type="paragraph" w:styleId="Heading5">
    <w:name w:val="heading 5"/>
    <w:basedOn w:val="HeadingBase"/>
    <w:next w:val="Normal"/>
    <w:link w:val="Heading5Char"/>
    <w:qFormat/>
    <w:rsid w:val="00175B61"/>
    <w:pPr>
      <w:spacing w:before="80"/>
      <w:outlineLvl w:val="4"/>
    </w:pPr>
    <w:rPr>
      <w:color w:val="918585"/>
      <w:sz w:val="20"/>
    </w:rPr>
  </w:style>
  <w:style w:type="paragraph" w:styleId="Heading6">
    <w:name w:val="heading 6"/>
    <w:basedOn w:val="HeadingBase"/>
    <w:next w:val="Normal"/>
    <w:link w:val="Heading6Char"/>
    <w:qFormat/>
    <w:rsid w:val="00175B61"/>
    <w:pPr>
      <w:spacing w:before="60"/>
      <w:outlineLvl w:val="5"/>
    </w:pPr>
    <w:rPr>
      <w:color w:val="918585"/>
      <w:sz w:val="20"/>
    </w:rPr>
  </w:style>
  <w:style w:type="paragraph" w:styleId="Heading7">
    <w:name w:val="heading 7"/>
    <w:basedOn w:val="Normal"/>
    <w:next w:val="Normal"/>
    <w:link w:val="Heading7Char"/>
    <w:qFormat/>
    <w:rsid w:val="00175B61"/>
    <w:pPr>
      <w:ind w:left="720"/>
      <w:outlineLvl w:val="6"/>
    </w:pPr>
    <w:rPr>
      <w:i/>
    </w:rPr>
  </w:style>
  <w:style w:type="paragraph" w:styleId="Heading8">
    <w:name w:val="heading 8"/>
    <w:basedOn w:val="Normal"/>
    <w:next w:val="Normal"/>
    <w:link w:val="Heading8Char"/>
    <w:qFormat/>
    <w:rsid w:val="00175B61"/>
    <w:pPr>
      <w:ind w:left="720"/>
      <w:outlineLvl w:val="7"/>
    </w:pPr>
    <w:rPr>
      <w:i/>
    </w:rPr>
  </w:style>
  <w:style w:type="paragraph" w:styleId="Heading9">
    <w:name w:val="heading 9"/>
    <w:basedOn w:val="Normal"/>
    <w:next w:val="Normal"/>
    <w:link w:val="Heading9Char"/>
    <w:qFormat/>
    <w:rsid w:val="00175B61"/>
    <w:pPr>
      <w:ind w:left="720"/>
      <w:outlineLvl w:val="8"/>
    </w:pPr>
    <w:rPr>
      <w:i/>
    </w:rPr>
  </w:style>
  <w:style w:type="character" w:default="1" w:styleId="DefaultParagraphFont">
    <w:name w:val="Default Paragraph Font"/>
    <w:uiPriority w:val="1"/>
    <w:unhideWhenUsed/>
    <w:rsid w:val="00175B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B61"/>
  </w:style>
  <w:style w:type="character" w:customStyle="1" w:styleId="Heading1Char">
    <w:name w:val="Heading 1 Char"/>
    <w:basedOn w:val="DefaultParagraphFont"/>
    <w:link w:val="Heading1"/>
    <w:rsid w:val="00175B61"/>
    <w:rPr>
      <w:rFonts w:ascii="Times New Roman" w:eastAsia="Times New Roman" w:hAnsi="Times New Roman" w:cs="Times New Roman"/>
      <w:b/>
      <w:sz w:val="32"/>
      <w:szCs w:val="20"/>
      <w:lang w:eastAsia="en-US"/>
    </w:rPr>
  </w:style>
  <w:style w:type="paragraph" w:styleId="BodyText">
    <w:name w:val="Body Text"/>
    <w:basedOn w:val="Normal"/>
    <w:link w:val="BodyTextChar"/>
    <w:rsid w:val="00175B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B61"/>
    <w:rPr>
      <w:rFonts w:ascii="Times New Roman" w:eastAsia="Times New Roman" w:hAnsi="Times New Roman" w:cs="Times New Roman"/>
      <w:sz w:val="24"/>
      <w:lang w:eastAsia="en-US"/>
    </w:rPr>
  </w:style>
  <w:style w:type="paragraph" w:styleId="ListBullet">
    <w:name w:val="List Bullet"/>
    <w:basedOn w:val="List"/>
    <w:rsid w:val="00175B61"/>
    <w:pPr>
      <w:numPr>
        <w:numId w:val="11"/>
      </w:numPr>
      <w:tabs>
        <w:tab w:val="clear" w:pos="340"/>
      </w:tabs>
      <w:spacing w:before="40" w:after="40"/>
    </w:pPr>
  </w:style>
  <w:style w:type="character" w:customStyle="1" w:styleId="SpecialBold">
    <w:name w:val="Special Bold"/>
    <w:basedOn w:val="DefaultParagraphFont"/>
    <w:rsid w:val="00175B61"/>
    <w:rPr>
      <w:b/>
      <w:spacing w:val="0"/>
    </w:rPr>
  </w:style>
  <w:style w:type="paragraph" w:customStyle="1" w:styleId="SuperHeading">
    <w:name w:val="SuperHeading"/>
    <w:basedOn w:val="Normal"/>
    <w:rsid w:val="00175B61"/>
    <w:pPr>
      <w:spacing w:before="240" w:after="120"/>
      <w:outlineLvl w:val="0"/>
    </w:pPr>
    <w:rPr>
      <w:rFonts w:ascii="Times New Roman" w:hAnsi="Times New Roman"/>
      <w:b/>
      <w:sz w:val="32"/>
    </w:rPr>
  </w:style>
  <w:style w:type="paragraph" w:customStyle="1" w:styleId="AllowPageBreak">
    <w:name w:val="AllowPageBreak"/>
    <w:rsid w:val="00175B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5B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B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B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B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B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B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B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B61"/>
    <w:rPr>
      <w:rFonts w:ascii="Courier New" w:eastAsia="Times New Roman" w:hAnsi="Courier New" w:cs="Times New Roman"/>
      <w:i/>
      <w:szCs w:val="20"/>
      <w:lang w:eastAsia="en-US"/>
    </w:rPr>
  </w:style>
  <w:style w:type="paragraph" w:customStyle="1" w:styleId="HeadingBase">
    <w:name w:val="Heading Base"/>
    <w:rsid w:val="00175B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B61"/>
    <w:pPr>
      <w:tabs>
        <w:tab w:val="right" w:leader="dot" w:pos="9072"/>
      </w:tabs>
      <w:ind w:left="567"/>
    </w:pPr>
    <w:rPr>
      <w:szCs w:val="22"/>
    </w:rPr>
  </w:style>
  <w:style w:type="paragraph" w:customStyle="1" w:styleId="TOCBase">
    <w:name w:val="TOC Base"/>
    <w:rsid w:val="00175B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B61"/>
    <w:pPr>
      <w:tabs>
        <w:tab w:val="right" w:leader="dot" w:pos="9072"/>
      </w:tabs>
      <w:spacing w:before="40" w:after="40"/>
      <w:ind w:left="284"/>
    </w:pPr>
    <w:rPr>
      <w:rFonts w:ascii="Times New Roman" w:hAnsi="Times New Roman"/>
    </w:rPr>
  </w:style>
  <w:style w:type="paragraph" w:styleId="TOC1">
    <w:name w:val="toc 1"/>
    <w:basedOn w:val="TOCBase"/>
    <w:next w:val="Normal"/>
    <w:rsid w:val="00175B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B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B61"/>
    <w:rPr>
      <w:rFonts w:ascii="Times New Roman" w:eastAsia="Times New Roman" w:hAnsi="Times New Roman" w:cs="Times New Roman"/>
      <w:sz w:val="16"/>
      <w:lang w:eastAsia="en-US"/>
    </w:rPr>
  </w:style>
  <w:style w:type="paragraph" w:styleId="Title">
    <w:name w:val="Title"/>
    <w:basedOn w:val="HeadingBase"/>
    <w:link w:val="TitleChar"/>
    <w:qFormat/>
    <w:rsid w:val="00175B61"/>
    <w:pPr>
      <w:spacing w:before="5040"/>
      <w:jc w:val="center"/>
    </w:pPr>
    <w:rPr>
      <w:sz w:val="48"/>
      <w:szCs w:val="72"/>
      <w:lang w:val="en-US"/>
    </w:rPr>
  </w:style>
  <w:style w:type="character" w:customStyle="1" w:styleId="TitleChar">
    <w:name w:val="Title Char"/>
    <w:basedOn w:val="DefaultParagraphFont"/>
    <w:link w:val="Title"/>
    <w:rsid w:val="00175B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B61"/>
    <w:pPr>
      <w:tabs>
        <w:tab w:val="left" w:pos="3600"/>
        <w:tab w:val="left" w:pos="3958"/>
      </w:tabs>
    </w:pPr>
  </w:style>
  <w:style w:type="paragraph" w:styleId="List">
    <w:name w:val="List"/>
    <w:basedOn w:val="BodyText"/>
    <w:next w:val="BodyText"/>
    <w:rsid w:val="00175B61"/>
    <w:pPr>
      <w:tabs>
        <w:tab w:val="left" w:pos="340"/>
      </w:tabs>
      <w:spacing w:before="60" w:after="60"/>
      <w:ind w:left="340" w:hanging="340"/>
    </w:pPr>
  </w:style>
  <w:style w:type="paragraph" w:customStyle="1" w:styleId="Note">
    <w:name w:val="Note"/>
    <w:basedOn w:val="BodyText"/>
    <w:rsid w:val="00175B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B61"/>
    <w:pPr>
      <w:framePr w:wrap="auto" w:hAnchor="text" w:y="6049"/>
    </w:pPr>
    <w:rPr>
      <w:color w:val="000000"/>
      <w:sz w:val="40"/>
    </w:rPr>
  </w:style>
  <w:style w:type="paragraph" w:customStyle="1" w:styleId="TOCTitle">
    <w:name w:val="TOCTitle"/>
    <w:basedOn w:val="Heading1"/>
    <w:rsid w:val="00175B61"/>
    <w:pPr>
      <w:spacing w:after="240"/>
      <w:jc w:val="center"/>
      <w:outlineLvl w:val="9"/>
    </w:pPr>
    <w:rPr>
      <w:caps/>
    </w:rPr>
  </w:style>
  <w:style w:type="paragraph" w:customStyle="1" w:styleId="Version">
    <w:name w:val="Version"/>
    <w:rsid w:val="00175B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5B61"/>
    <w:pPr>
      <w:numPr>
        <w:numId w:val="12"/>
      </w:numPr>
      <w:tabs>
        <w:tab w:val="clear" w:pos="680"/>
      </w:tabs>
    </w:pPr>
  </w:style>
  <w:style w:type="paragraph" w:styleId="Index1">
    <w:name w:val="index 1"/>
    <w:basedOn w:val="Normal"/>
    <w:next w:val="Normal"/>
    <w:semiHidden/>
    <w:rsid w:val="00175B61"/>
    <w:pPr>
      <w:keepNext w:val="0"/>
      <w:tabs>
        <w:tab w:val="right" w:pos="4176"/>
      </w:tabs>
      <w:ind w:left="198" w:hanging="198"/>
    </w:pPr>
    <w:rPr>
      <w:rFonts w:ascii="Garamond" w:hAnsi="Garamond"/>
    </w:rPr>
  </w:style>
  <w:style w:type="paragraph" w:styleId="IndexHeading">
    <w:name w:val="index heading"/>
    <w:basedOn w:val="Normal"/>
    <w:next w:val="Index1"/>
    <w:semiHidden/>
    <w:rsid w:val="00175B61"/>
    <w:pPr>
      <w:spacing w:before="120" w:after="120"/>
    </w:pPr>
    <w:rPr>
      <w:rFonts w:ascii="Arial" w:hAnsi="Arial"/>
      <w:b/>
      <w:color w:val="918585"/>
      <w:sz w:val="24"/>
    </w:rPr>
  </w:style>
  <w:style w:type="paragraph" w:styleId="Header">
    <w:name w:val="header"/>
    <w:basedOn w:val="Normal"/>
    <w:link w:val="HeaderChar"/>
    <w:rsid w:val="00175B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B61"/>
    <w:rPr>
      <w:rFonts w:ascii="Times New Roman" w:eastAsia="Times New Roman" w:hAnsi="Times New Roman" w:cs="Times New Roman"/>
      <w:sz w:val="16"/>
      <w:szCs w:val="20"/>
      <w:lang w:val="en-GB" w:eastAsia="en-US"/>
    </w:rPr>
  </w:style>
  <w:style w:type="paragraph" w:customStyle="1" w:styleId="Chapter">
    <w:name w:val="Chapter"/>
    <w:basedOn w:val="Normal"/>
    <w:rsid w:val="00175B61"/>
    <w:pPr>
      <w:spacing w:before="240"/>
    </w:pPr>
    <w:rPr>
      <w:rFonts w:ascii="Times New Roman" w:hAnsi="Times New Roman"/>
      <w:smallCaps/>
      <w:spacing w:val="80"/>
      <w:sz w:val="28"/>
    </w:rPr>
  </w:style>
  <w:style w:type="paragraph" w:customStyle="1" w:styleId="InChapter">
    <w:name w:val="InChapter"/>
    <w:basedOn w:val="Heading3"/>
    <w:rsid w:val="00175B61"/>
    <w:pPr>
      <w:spacing w:after="240"/>
      <w:outlineLvl w:val="9"/>
    </w:pPr>
    <w:rPr>
      <w:noProof/>
    </w:rPr>
  </w:style>
  <w:style w:type="paragraph" w:styleId="Index2">
    <w:name w:val="index 2"/>
    <w:basedOn w:val="Normal"/>
    <w:next w:val="Normal"/>
    <w:semiHidden/>
    <w:rsid w:val="00175B61"/>
    <w:pPr>
      <w:tabs>
        <w:tab w:val="right" w:pos="4176"/>
      </w:tabs>
      <w:ind w:left="568" w:hanging="284"/>
    </w:pPr>
    <w:rPr>
      <w:rFonts w:ascii="Garamond" w:hAnsi="Garamond"/>
    </w:rPr>
  </w:style>
  <w:style w:type="paragraph" w:customStyle="1" w:styleId="Byline">
    <w:name w:val="Byline"/>
    <w:rsid w:val="00175B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B61"/>
    <w:pPr>
      <w:tabs>
        <w:tab w:val="clear" w:pos="3600"/>
        <w:tab w:val="clear" w:pos="3958"/>
      </w:tabs>
      <w:jc w:val="right"/>
    </w:pPr>
  </w:style>
  <w:style w:type="character" w:styleId="Emphasis">
    <w:name w:val="Emphasis"/>
    <w:basedOn w:val="DefaultParagraphFont"/>
    <w:qFormat/>
    <w:rsid w:val="00175B61"/>
    <w:rPr>
      <w:i/>
    </w:rPr>
  </w:style>
  <w:style w:type="paragraph" w:styleId="Caption">
    <w:name w:val="caption"/>
    <w:basedOn w:val="BodyText"/>
    <w:next w:val="Normal"/>
    <w:qFormat/>
    <w:rsid w:val="00175B61"/>
    <w:pPr>
      <w:framePr w:w="2268" w:hSpace="181" w:vSpace="181" w:wrap="around" w:vAnchor="text" w:hAnchor="page" w:x="1135" w:y="285" w:anchorLock="1"/>
    </w:pPr>
    <w:rPr>
      <w:i/>
    </w:rPr>
  </w:style>
  <w:style w:type="paragraph" w:customStyle="1" w:styleId="MiniTOCTitle">
    <w:name w:val="MiniTOCTitle"/>
    <w:basedOn w:val="Heading4"/>
    <w:rsid w:val="00175B61"/>
    <w:pPr>
      <w:spacing w:before="240"/>
      <w:outlineLvl w:val="9"/>
    </w:pPr>
    <w:rPr>
      <w:noProof/>
      <w:sz w:val="24"/>
    </w:rPr>
  </w:style>
  <w:style w:type="paragraph" w:customStyle="1" w:styleId="MiniTOCItem">
    <w:name w:val="MiniTOCItem"/>
    <w:basedOn w:val="ListBullet"/>
    <w:rsid w:val="00175B61"/>
    <w:pPr>
      <w:numPr>
        <w:numId w:val="0"/>
      </w:numPr>
      <w:tabs>
        <w:tab w:val="right" w:leader="dot" w:pos="6521"/>
      </w:tabs>
      <w:spacing w:before="0" w:after="0"/>
    </w:pPr>
  </w:style>
  <w:style w:type="paragraph" w:customStyle="1" w:styleId="TOFTitle">
    <w:name w:val="TOFTitle"/>
    <w:basedOn w:val="TOCTitle"/>
    <w:rsid w:val="00175B61"/>
  </w:style>
  <w:style w:type="paragraph" w:styleId="TableofFigures">
    <w:name w:val="table of figures"/>
    <w:basedOn w:val="Normal"/>
    <w:next w:val="Normal"/>
    <w:semiHidden/>
    <w:rsid w:val="00175B61"/>
    <w:pPr>
      <w:tabs>
        <w:tab w:val="right" w:leader="dot" w:pos="9072"/>
      </w:tabs>
      <w:ind w:left="970" w:hanging="403"/>
    </w:pPr>
    <w:rPr>
      <w:rFonts w:ascii="Times New Roman" w:hAnsi="Times New Roman"/>
      <w:b/>
    </w:rPr>
  </w:style>
  <w:style w:type="paragraph" w:styleId="ListNumber">
    <w:name w:val="List Number"/>
    <w:basedOn w:val="List"/>
    <w:rsid w:val="00175B61"/>
    <w:pPr>
      <w:numPr>
        <w:numId w:val="14"/>
      </w:numPr>
      <w:tabs>
        <w:tab w:val="clear" w:pos="340"/>
      </w:tabs>
    </w:pPr>
  </w:style>
  <w:style w:type="character" w:customStyle="1" w:styleId="WingdingSymbols">
    <w:name w:val="Wingding Symbols"/>
    <w:rsid w:val="00175B61"/>
    <w:rPr>
      <w:rFonts w:ascii="Wingdings" w:hAnsi="Wingdings"/>
    </w:rPr>
  </w:style>
  <w:style w:type="paragraph" w:customStyle="1" w:styleId="TableHeading">
    <w:name w:val="Table Heading"/>
    <w:basedOn w:val="HeadingBase"/>
    <w:rsid w:val="00175B61"/>
    <w:pPr>
      <w:keepLines/>
      <w:pBdr>
        <w:bottom w:val="single" w:sz="6" w:space="1" w:color="918585"/>
      </w:pBdr>
      <w:spacing w:before="240"/>
    </w:pPr>
  </w:style>
  <w:style w:type="character" w:customStyle="1" w:styleId="HotSpot">
    <w:name w:val="HotSpot"/>
    <w:rsid w:val="00175B61"/>
    <w:rPr>
      <w:color w:val="0033CC"/>
      <w:u w:val="none"/>
    </w:rPr>
  </w:style>
  <w:style w:type="paragraph" w:customStyle="1" w:styleId="BodyTextRight">
    <w:name w:val="Body Text Right"/>
    <w:basedOn w:val="BodyText"/>
    <w:rsid w:val="00175B61"/>
    <w:pPr>
      <w:spacing w:before="0" w:after="0"/>
      <w:jc w:val="right"/>
    </w:pPr>
  </w:style>
  <w:style w:type="paragraph" w:styleId="Index3">
    <w:name w:val="index 3"/>
    <w:basedOn w:val="ListNumber2"/>
    <w:next w:val="Normal"/>
    <w:semiHidden/>
    <w:rsid w:val="00175B61"/>
    <w:pPr>
      <w:numPr>
        <w:numId w:val="0"/>
      </w:numPr>
      <w:tabs>
        <w:tab w:val="right" w:leader="dot" w:pos="4176"/>
      </w:tabs>
    </w:pPr>
  </w:style>
  <w:style w:type="paragraph" w:styleId="ListNumber2">
    <w:name w:val="List Number 2"/>
    <w:basedOn w:val="List2"/>
    <w:rsid w:val="00175B61"/>
    <w:pPr>
      <w:numPr>
        <w:numId w:val="9"/>
      </w:numPr>
      <w:tabs>
        <w:tab w:val="clear" w:pos="1060"/>
      </w:tabs>
    </w:pPr>
  </w:style>
  <w:style w:type="paragraph" w:customStyle="1" w:styleId="MarginNote">
    <w:name w:val="Margin Note"/>
    <w:basedOn w:val="BodyText"/>
    <w:rsid w:val="00175B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B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B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B61"/>
    <w:rPr>
      <w:sz w:val="32"/>
    </w:rPr>
  </w:style>
  <w:style w:type="paragraph" w:customStyle="1" w:styleId="HeadingProcedure">
    <w:name w:val="Heading Procedure"/>
    <w:basedOn w:val="HeadingBase"/>
    <w:next w:val="Normal"/>
    <w:rsid w:val="00175B61"/>
    <w:pPr>
      <w:tabs>
        <w:tab w:val="left" w:pos="0"/>
      </w:tabs>
      <w:spacing w:before="120" w:after="60"/>
    </w:pPr>
    <w:rPr>
      <w:i/>
      <w:color w:val="918585"/>
      <w:sz w:val="22"/>
    </w:rPr>
  </w:style>
  <w:style w:type="paragraph" w:customStyle="1" w:styleId="TableBodyText">
    <w:name w:val="Table Body Text"/>
    <w:basedOn w:val="BodyText"/>
    <w:rsid w:val="00175B61"/>
    <w:pPr>
      <w:spacing w:before="60" w:after="60"/>
    </w:pPr>
  </w:style>
  <w:style w:type="paragraph" w:styleId="ListContinue">
    <w:name w:val="List Continue"/>
    <w:basedOn w:val="List"/>
    <w:rsid w:val="00175B61"/>
    <w:pPr>
      <w:ind w:firstLine="0"/>
    </w:pPr>
  </w:style>
  <w:style w:type="paragraph" w:customStyle="1" w:styleId="ListNote">
    <w:name w:val="List Note"/>
    <w:basedOn w:val="List"/>
    <w:rsid w:val="00175B61"/>
    <w:pPr>
      <w:pBdr>
        <w:top w:val="single" w:sz="6" w:space="2" w:color="918585"/>
        <w:bottom w:val="single" w:sz="6" w:space="2" w:color="918585"/>
      </w:pBdr>
      <w:tabs>
        <w:tab w:val="left" w:pos="1021"/>
      </w:tabs>
      <w:ind w:firstLine="0"/>
    </w:pPr>
  </w:style>
  <w:style w:type="paragraph" w:customStyle="1" w:styleId="Warning">
    <w:name w:val="Warning"/>
    <w:basedOn w:val="BodyText"/>
    <w:rsid w:val="00175B61"/>
    <w:pPr>
      <w:shd w:val="clear" w:color="auto" w:fill="D9D9D9"/>
      <w:tabs>
        <w:tab w:val="left" w:pos="992"/>
      </w:tabs>
      <w:ind w:left="119" w:right="119"/>
    </w:pPr>
    <w:rPr>
      <w:sz w:val="20"/>
    </w:rPr>
  </w:style>
  <w:style w:type="paragraph" w:customStyle="1" w:styleId="MarginIcons">
    <w:name w:val="Margin Icons"/>
    <w:basedOn w:val="BodyText"/>
    <w:rsid w:val="00175B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B61"/>
    <w:rPr>
      <w:rFonts w:ascii="Courier New" w:hAnsi="Courier New"/>
    </w:rPr>
  </w:style>
  <w:style w:type="paragraph" w:customStyle="1" w:styleId="NoteBullet">
    <w:name w:val="Note Bullet"/>
    <w:basedOn w:val="Note"/>
    <w:rsid w:val="00175B61"/>
    <w:pPr>
      <w:tabs>
        <w:tab w:val="clear" w:pos="680"/>
      </w:tabs>
      <w:spacing w:before="60" w:after="60"/>
    </w:pPr>
  </w:style>
  <w:style w:type="paragraph" w:customStyle="1" w:styleId="SubHeading2">
    <w:name w:val="SubHeading2"/>
    <w:basedOn w:val="HeadingBase"/>
    <w:rsid w:val="00175B61"/>
    <w:pPr>
      <w:spacing w:before="240" w:after="60"/>
    </w:pPr>
    <w:rPr>
      <w:sz w:val="20"/>
    </w:rPr>
  </w:style>
  <w:style w:type="paragraph" w:customStyle="1" w:styleId="SubHeading1">
    <w:name w:val="SubHeading1"/>
    <w:basedOn w:val="HeadingBase"/>
    <w:rsid w:val="00175B61"/>
    <w:pPr>
      <w:spacing w:before="240" w:after="60"/>
    </w:pPr>
    <w:rPr>
      <w:color w:val="918585"/>
      <w:sz w:val="22"/>
    </w:rPr>
  </w:style>
  <w:style w:type="paragraph" w:customStyle="1" w:styleId="SideHeading">
    <w:name w:val="Side Heading"/>
    <w:basedOn w:val="HeadingBase"/>
    <w:rsid w:val="00175B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B61"/>
    <w:pPr>
      <w:numPr>
        <w:numId w:val="10"/>
      </w:numPr>
    </w:pPr>
  </w:style>
  <w:style w:type="paragraph" w:styleId="PlainText">
    <w:name w:val="Plain Text"/>
    <w:basedOn w:val="Normal"/>
    <w:link w:val="PlainTextChar"/>
    <w:rsid w:val="00175B61"/>
    <w:rPr>
      <w:sz w:val="20"/>
    </w:rPr>
  </w:style>
  <w:style w:type="character" w:customStyle="1" w:styleId="PlainTextChar">
    <w:name w:val="Plain Text Char"/>
    <w:basedOn w:val="DefaultParagraphFont"/>
    <w:link w:val="PlainText"/>
    <w:rsid w:val="00175B61"/>
    <w:rPr>
      <w:rFonts w:ascii="Courier New" w:eastAsia="Times New Roman" w:hAnsi="Courier New" w:cs="Times New Roman"/>
      <w:sz w:val="20"/>
      <w:szCs w:val="20"/>
      <w:lang w:eastAsia="en-US"/>
    </w:rPr>
  </w:style>
  <w:style w:type="character" w:customStyle="1" w:styleId="MenuOption">
    <w:name w:val="Menu Option"/>
    <w:basedOn w:val="DefaultParagraphFont"/>
    <w:rsid w:val="00175B61"/>
    <w:rPr>
      <w:b/>
      <w:smallCaps/>
    </w:rPr>
  </w:style>
  <w:style w:type="paragraph" w:customStyle="1" w:styleId="TableListNumber">
    <w:name w:val="Table List Number"/>
    <w:basedOn w:val="ListNumber"/>
    <w:rsid w:val="00175B61"/>
    <w:pPr>
      <w:numPr>
        <w:numId w:val="0"/>
      </w:numPr>
    </w:pPr>
  </w:style>
  <w:style w:type="paragraph" w:styleId="TOC4">
    <w:name w:val="toc 4"/>
    <w:basedOn w:val="TOCBase"/>
    <w:next w:val="Normal"/>
    <w:semiHidden/>
    <w:rsid w:val="00175B61"/>
    <w:pPr>
      <w:tabs>
        <w:tab w:val="right" w:leader="dot" w:pos="9071"/>
      </w:tabs>
      <w:ind w:left="1701"/>
    </w:pPr>
  </w:style>
  <w:style w:type="paragraph" w:customStyle="1" w:styleId="ListAlpha">
    <w:name w:val="List Alpha"/>
    <w:basedOn w:val="List"/>
    <w:rsid w:val="00175B61"/>
    <w:pPr>
      <w:numPr>
        <w:numId w:val="8"/>
      </w:numPr>
    </w:pPr>
  </w:style>
  <w:style w:type="paragraph" w:customStyle="1" w:styleId="ListAlpha2">
    <w:name w:val="List Alpha 2"/>
    <w:basedOn w:val="List2"/>
    <w:rsid w:val="00175B61"/>
    <w:pPr>
      <w:numPr>
        <w:numId w:val="7"/>
      </w:numPr>
    </w:pPr>
  </w:style>
  <w:style w:type="paragraph" w:styleId="List2">
    <w:name w:val="List 2"/>
    <w:basedOn w:val="BodyText"/>
    <w:rsid w:val="00175B61"/>
    <w:pPr>
      <w:tabs>
        <w:tab w:val="left" w:pos="680"/>
      </w:tabs>
      <w:spacing w:before="60" w:after="60"/>
      <w:ind w:left="680" w:hanging="340"/>
    </w:pPr>
  </w:style>
  <w:style w:type="paragraph" w:styleId="List3">
    <w:name w:val="List 3"/>
    <w:basedOn w:val="BodyText"/>
    <w:rsid w:val="00175B61"/>
    <w:pPr>
      <w:tabs>
        <w:tab w:val="left" w:pos="1021"/>
      </w:tabs>
      <w:spacing w:before="60" w:after="60"/>
      <w:ind w:left="1020" w:hanging="340"/>
    </w:pPr>
  </w:style>
  <w:style w:type="paragraph" w:styleId="List4">
    <w:name w:val="List 4"/>
    <w:basedOn w:val="BodyText"/>
    <w:rsid w:val="00175B61"/>
    <w:pPr>
      <w:tabs>
        <w:tab w:val="left" w:pos="1361"/>
      </w:tabs>
      <w:spacing w:before="60" w:after="60"/>
      <w:ind w:left="1361" w:hanging="340"/>
    </w:pPr>
  </w:style>
  <w:style w:type="paragraph" w:styleId="List5">
    <w:name w:val="List 5"/>
    <w:basedOn w:val="BodyText"/>
    <w:rsid w:val="00175B61"/>
    <w:pPr>
      <w:tabs>
        <w:tab w:val="left" w:pos="1701"/>
      </w:tabs>
      <w:spacing w:before="60" w:after="60"/>
      <w:ind w:left="1701" w:hanging="340"/>
    </w:pPr>
  </w:style>
  <w:style w:type="paragraph" w:styleId="ListBullet3">
    <w:name w:val="List Bullet 3"/>
    <w:basedOn w:val="List3"/>
    <w:rsid w:val="00175B61"/>
    <w:pPr>
      <w:numPr>
        <w:numId w:val="13"/>
      </w:numPr>
      <w:tabs>
        <w:tab w:val="clear" w:pos="1021"/>
      </w:tabs>
      <w:ind w:left="1037" w:hanging="357"/>
    </w:pPr>
  </w:style>
  <w:style w:type="paragraph" w:styleId="ListBullet4">
    <w:name w:val="List Bullet 4"/>
    <w:basedOn w:val="List4"/>
    <w:rsid w:val="00175B61"/>
    <w:pPr>
      <w:numPr>
        <w:numId w:val="2"/>
      </w:numPr>
      <w:tabs>
        <w:tab w:val="clear" w:pos="1361"/>
      </w:tabs>
    </w:pPr>
  </w:style>
  <w:style w:type="paragraph" w:styleId="ListBullet5">
    <w:name w:val="List Bullet 5"/>
    <w:basedOn w:val="List5"/>
    <w:rsid w:val="00175B61"/>
    <w:pPr>
      <w:numPr>
        <w:numId w:val="3"/>
      </w:numPr>
    </w:pPr>
  </w:style>
  <w:style w:type="paragraph" w:styleId="ListContinue2">
    <w:name w:val="List Continue 2"/>
    <w:basedOn w:val="List2"/>
    <w:rsid w:val="00175B61"/>
    <w:pPr>
      <w:ind w:firstLine="0"/>
    </w:pPr>
  </w:style>
  <w:style w:type="paragraph" w:styleId="ListContinue3">
    <w:name w:val="List Continue 3"/>
    <w:basedOn w:val="List3"/>
    <w:rsid w:val="00175B61"/>
    <w:pPr>
      <w:ind w:left="1021" w:firstLine="0"/>
    </w:pPr>
  </w:style>
  <w:style w:type="paragraph" w:styleId="ListContinue4">
    <w:name w:val="List Continue 4"/>
    <w:basedOn w:val="List4"/>
    <w:rsid w:val="00175B61"/>
    <w:pPr>
      <w:ind w:firstLine="0"/>
    </w:pPr>
  </w:style>
  <w:style w:type="paragraph" w:styleId="ListContinue5">
    <w:name w:val="List Continue 5"/>
    <w:basedOn w:val="List5"/>
    <w:rsid w:val="00175B61"/>
    <w:pPr>
      <w:ind w:firstLine="0"/>
    </w:pPr>
  </w:style>
  <w:style w:type="paragraph" w:styleId="ListNumber3">
    <w:name w:val="List Number 3"/>
    <w:basedOn w:val="List3"/>
    <w:rsid w:val="00175B61"/>
    <w:pPr>
      <w:numPr>
        <w:numId w:val="4"/>
      </w:numPr>
    </w:pPr>
  </w:style>
  <w:style w:type="paragraph" w:styleId="ListNumber4">
    <w:name w:val="List Number 4"/>
    <w:basedOn w:val="List4"/>
    <w:rsid w:val="00175B61"/>
    <w:pPr>
      <w:numPr>
        <w:numId w:val="5"/>
      </w:numPr>
    </w:pPr>
  </w:style>
  <w:style w:type="paragraph" w:styleId="ListNumber5">
    <w:name w:val="List Number 5"/>
    <w:basedOn w:val="List5"/>
    <w:rsid w:val="00175B61"/>
    <w:pPr>
      <w:numPr>
        <w:numId w:val="6"/>
      </w:numPr>
    </w:pPr>
  </w:style>
  <w:style w:type="paragraph" w:styleId="BlockText">
    <w:name w:val="Block Text"/>
    <w:basedOn w:val="Normal"/>
    <w:rsid w:val="00175B61"/>
    <w:pPr>
      <w:spacing w:after="120"/>
      <w:ind w:left="1440" w:right="1440"/>
    </w:pPr>
  </w:style>
  <w:style w:type="character" w:customStyle="1" w:styleId="Subscript">
    <w:name w:val="Subscript"/>
    <w:basedOn w:val="DefaultParagraphFont"/>
    <w:rsid w:val="00175B61"/>
    <w:rPr>
      <w:sz w:val="16"/>
      <w:vertAlign w:val="subscript"/>
    </w:rPr>
  </w:style>
  <w:style w:type="character" w:customStyle="1" w:styleId="Superscript">
    <w:name w:val="Superscript"/>
    <w:basedOn w:val="DefaultParagraphFont"/>
    <w:rsid w:val="00175B61"/>
    <w:rPr>
      <w:sz w:val="16"/>
      <w:vertAlign w:val="superscript"/>
    </w:rPr>
  </w:style>
  <w:style w:type="character" w:customStyle="1" w:styleId="Symbols">
    <w:name w:val="Symbols"/>
    <w:basedOn w:val="DefaultParagraphFont"/>
    <w:rsid w:val="00175B61"/>
    <w:rPr>
      <w:rFonts w:ascii="Symbol" w:hAnsi="Symbol"/>
    </w:rPr>
  </w:style>
  <w:style w:type="character" w:customStyle="1" w:styleId="MenuOptions">
    <w:name w:val="Menu Options"/>
    <w:basedOn w:val="DefaultParagraphFont"/>
    <w:rsid w:val="00175B61"/>
    <w:rPr>
      <w:rFonts w:ascii="Arial Narrow" w:hAnsi="Arial Narrow"/>
      <w:smallCaps/>
    </w:rPr>
  </w:style>
  <w:style w:type="character" w:customStyle="1" w:styleId="Buttons">
    <w:name w:val="Buttons"/>
    <w:basedOn w:val="DefaultParagraphFont"/>
    <w:rsid w:val="00175B61"/>
    <w:rPr>
      <w:b/>
    </w:rPr>
  </w:style>
  <w:style w:type="character" w:customStyle="1" w:styleId="Underlined">
    <w:name w:val="Underlined"/>
    <w:basedOn w:val="DefaultParagraphFont"/>
    <w:rsid w:val="00175B61"/>
    <w:rPr>
      <w:u w:val="single"/>
    </w:rPr>
  </w:style>
  <w:style w:type="paragraph" w:customStyle="1" w:styleId="TableBodyTextRight">
    <w:name w:val="Table Body Text Right"/>
    <w:basedOn w:val="TableBodyText"/>
    <w:rsid w:val="00175B61"/>
    <w:pPr>
      <w:widowControl w:val="0"/>
      <w:autoSpaceDE w:val="0"/>
      <w:autoSpaceDN w:val="0"/>
      <w:adjustRightInd w:val="0"/>
      <w:jc w:val="right"/>
    </w:pPr>
    <w:rPr>
      <w:rFonts w:cs="Arial"/>
      <w:szCs w:val="18"/>
    </w:rPr>
  </w:style>
  <w:style w:type="paragraph" w:customStyle="1" w:styleId="CopyrightText">
    <w:name w:val="Copyright Text"/>
    <w:basedOn w:val="BodyText"/>
    <w:rsid w:val="00175B61"/>
    <w:rPr>
      <w:sz w:val="18"/>
    </w:rPr>
  </w:style>
  <w:style w:type="paragraph" w:customStyle="1" w:styleId="BodySmallRight">
    <w:name w:val="Body Small Right"/>
    <w:basedOn w:val="BodyTextRight"/>
    <w:rsid w:val="00175B61"/>
    <w:rPr>
      <w:sz w:val="18"/>
      <w:szCs w:val="18"/>
    </w:rPr>
  </w:style>
  <w:style w:type="paragraph" w:customStyle="1" w:styleId="MarginEdition">
    <w:name w:val="Margin Edition"/>
    <w:basedOn w:val="MarginNote"/>
    <w:rsid w:val="00175B61"/>
    <w:pPr>
      <w:spacing w:before="0" w:after="0"/>
    </w:pPr>
    <w:rPr>
      <w:rFonts w:ascii="Times New Roman" w:hAnsi="Times New Roman"/>
      <w:color w:val="999999"/>
    </w:rPr>
  </w:style>
  <w:style w:type="paragraph" w:customStyle="1" w:styleId="Spacer">
    <w:name w:val="Spacer"/>
    <w:basedOn w:val="Normal"/>
    <w:rsid w:val="00175B61"/>
    <w:rPr>
      <w:sz w:val="2"/>
      <w:szCs w:val="2"/>
    </w:rPr>
  </w:style>
  <w:style w:type="character" w:customStyle="1" w:styleId="Small">
    <w:name w:val="Small"/>
    <w:basedOn w:val="DefaultParagraphFont"/>
    <w:rsid w:val="00175B61"/>
    <w:rPr>
      <w:sz w:val="16"/>
    </w:rPr>
  </w:style>
  <w:style w:type="paragraph" w:customStyle="1" w:styleId="WideTable">
    <w:name w:val="Wide Table"/>
    <w:basedOn w:val="Normal"/>
    <w:rsid w:val="00175B61"/>
    <w:pPr>
      <w:ind w:left="-1418"/>
    </w:pPr>
    <w:rPr>
      <w:sz w:val="2"/>
      <w:szCs w:val="2"/>
    </w:rPr>
  </w:style>
  <w:style w:type="character" w:styleId="PageNumber">
    <w:name w:val="page number"/>
    <w:basedOn w:val="DefaultParagraphFont"/>
    <w:rsid w:val="00175B61"/>
  </w:style>
  <w:style w:type="paragraph" w:styleId="Quote">
    <w:name w:val="Quote"/>
    <w:basedOn w:val="Heading1"/>
    <w:link w:val="QuoteChar"/>
    <w:qFormat/>
    <w:rsid w:val="00175B61"/>
    <w:rPr>
      <w:b w:val="0"/>
      <w:sz w:val="72"/>
      <w:szCs w:val="72"/>
      <w:lang w:val="en-NZ"/>
    </w:rPr>
  </w:style>
  <w:style w:type="character" w:customStyle="1" w:styleId="QuoteChar">
    <w:name w:val="Quote Char"/>
    <w:basedOn w:val="DefaultParagraphFont"/>
    <w:link w:val="Quote"/>
    <w:rsid w:val="00175B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B61"/>
    <w:pPr>
      <w:pageBreakBefore/>
    </w:pPr>
  </w:style>
  <w:style w:type="paragraph" w:customStyle="1" w:styleId="Border">
    <w:name w:val="Border"/>
    <w:basedOn w:val="Normal"/>
    <w:qFormat/>
    <w:rsid w:val="00175B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B61"/>
    <w:rPr>
      <w:b/>
      <w:bCs/>
      <w:i/>
      <w:iCs/>
      <w:color w:val="auto"/>
    </w:rPr>
  </w:style>
  <w:style w:type="paragraph" w:styleId="IntenseQuote">
    <w:name w:val="Intense Quote"/>
    <w:basedOn w:val="Normal"/>
    <w:next w:val="Normal"/>
    <w:link w:val="IntenseQuoteChar"/>
    <w:uiPriority w:val="30"/>
    <w:qFormat/>
    <w:rsid w:val="00175B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B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B61"/>
    <w:rPr>
      <w:smallCaps/>
      <w:color w:val="auto"/>
      <w:u w:val="single"/>
    </w:rPr>
  </w:style>
  <w:style w:type="character" w:styleId="IntenseReference">
    <w:name w:val="Intense Reference"/>
    <w:basedOn w:val="DefaultParagraphFont"/>
    <w:uiPriority w:val="32"/>
    <w:qFormat/>
    <w:rsid w:val="00175B61"/>
    <w:rPr>
      <w:b/>
      <w:bCs/>
      <w:smallCaps/>
      <w:color w:val="auto"/>
      <w:spacing w:val="5"/>
      <w:u w:val="single"/>
    </w:rPr>
  </w:style>
  <w:style w:type="paragraph" w:customStyle="1" w:styleId="2ColumnHeading">
    <w:name w:val="2Column Heading"/>
    <w:basedOn w:val="BodyText"/>
    <w:qFormat/>
    <w:rsid w:val="00175B61"/>
    <w:pPr>
      <w:spacing w:after="60"/>
      <w:ind w:left="-2268"/>
    </w:pPr>
    <w:rPr>
      <w:b/>
    </w:rPr>
  </w:style>
  <w:style w:type="paragraph" w:customStyle="1" w:styleId="Heading1TOC">
    <w:name w:val="Heading1 TOC"/>
    <w:basedOn w:val="Normal"/>
    <w:qFormat/>
    <w:rsid w:val="00175B61"/>
    <w:pPr>
      <w:spacing w:before="240" w:after="120"/>
    </w:pPr>
    <w:rPr>
      <w:rFonts w:ascii="Times New Roman" w:hAnsi="Times New Roman"/>
      <w:b/>
      <w:sz w:val="32"/>
    </w:rPr>
  </w:style>
  <w:style w:type="paragraph" w:customStyle="1" w:styleId="Heading2TOC">
    <w:name w:val="Heading2 TOC"/>
    <w:basedOn w:val="Normal"/>
    <w:qFormat/>
    <w:rsid w:val="00175B61"/>
    <w:pPr>
      <w:spacing w:before="240" w:after="60"/>
    </w:pPr>
    <w:rPr>
      <w:rFonts w:ascii="Times New Roman" w:hAnsi="Times New Roman"/>
      <w:b/>
      <w:sz w:val="28"/>
    </w:rPr>
  </w:style>
  <w:style w:type="character" w:customStyle="1" w:styleId="Underline">
    <w:name w:val="Underline"/>
    <w:basedOn w:val="DefaultParagraphFont"/>
    <w:qFormat/>
    <w:rsid w:val="00175B61"/>
    <w:rPr>
      <w:u w:val="single"/>
    </w:rPr>
  </w:style>
  <w:style w:type="character" w:customStyle="1" w:styleId="BoldandItalics">
    <w:name w:val="Bold and Italics"/>
    <w:qFormat/>
    <w:rsid w:val="00175B61"/>
    <w:rPr>
      <w:b/>
      <w:i/>
      <w:u w:val="none"/>
    </w:rPr>
  </w:style>
  <w:style w:type="paragraph" w:styleId="BalloonText">
    <w:name w:val="Balloon Text"/>
    <w:basedOn w:val="Normal"/>
    <w:link w:val="BalloonTextChar"/>
    <w:rsid w:val="00175B61"/>
    <w:rPr>
      <w:rFonts w:ascii="Tahoma" w:hAnsi="Tahoma" w:cs="Tahoma"/>
      <w:sz w:val="16"/>
      <w:szCs w:val="16"/>
    </w:rPr>
  </w:style>
  <w:style w:type="character" w:customStyle="1" w:styleId="BalloonTextChar">
    <w:name w:val="Balloon Text Char"/>
    <w:basedOn w:val="DefaultParagraphFont"/>
    <w:link w:val="BalloonText"/>
    <w:rsid w:val="00175B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B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B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B61"/>
    <w:rPr>
      <w:b/>
      <w:color w:val="660033"/>
      <w:spacing w:val="0"/>
    </w:rPr>
  </w:style>
  <w:style w:type="paragraph" w:customStyle="1" w:styleId="Nameditemlist">
    <w:name w:val="Named item list"/>
    <w:basedOn w:val="BodyText"/>
    <w:qFormat/>
    <w:rsid w:val="00175B61"/>
    <w:pPr>
      <w:tabs>
        <w:tab w:val="left" w:pos="2835"/>
      </w:tabs>
      <w:ind w:left="2835" w:hanging="2835"/>
    </w:pPr>
  </w:style>
  <w:style w:type="paragraph" w:customStyle="1" w:styleId="BodyTextnopadding">
    <w:name w:val="Body Text no padding"/>
    <w:basedOn w:val="BodyText"/>
    <w:qFormat/>
    <w:rsid w:val="00175B61"/>
    <w:pPr>
      <w:spacing w:before="0" w:after="0"/>
    </w:pPr>
  </w:style>
  <w:style w:type="paragraph" w:customStyle="1" w:styleId="BodyTextBold">
    <w:name w:val="Body Text Bold"/>
    <w:basedOn w:val="BodyText"/>
    <w:qFormat/>
    <w:rsid w:val="00175B61"/>
    <w:rPr>
      <w:b/>
    </w:rPr>
  </w:style>
  <w:style w:type="character" w:styleId="Hyperlink">
    <w:name w:val="Hyperlink"/>
    <w:basedOn w:val="DefaultParagraphFont"/>
    <w:uiPriority w:val="99"/>
    <w:unhideWhenUsed/>
    <w:rsid w:val="009267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5424</Characters>
  <Application>Microsoft Office Word</Application>
  <DocSecurity>0</DocSecurity>
  <Lines>246</Lines>
  <Paragraphs>142</Paragraphs>
  <ScaleCrop>false</ScaleCrop>
  <Company>Author-it Software Corporation Ltd.</Company>
  <LinksUpToDate>false</LinksUpToDate>
  <CharactersWithSpaces>6149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MSFFDT5011 Assess economic impact of a design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2020-05-07T02:33:00Z</dcterms:created>
  <dcterms:modified xsi:type="dcterms:W3CDTF">2020-05-07T02:33:00Z</dcterms:modified>
</cp:coreProperties>
</file>