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542D" w:rsidP="00DB542D">
      <w:pPr>
        <w:pStyle w:val="Title"/>
      </w:pPr>
      <w:r>
        <w:fldChar w:fldCharType="begin"/>
      </w:r>
      <w:r>
        <w:instrText xml:space="preserve"> TITLE   \* MERGEFORMAT </w:instrText>
      </w:r>
      <w:r>
        <w:fldChar w:fldCharType="separate"/>
      </w:r>
      <w:r>
        <w:t>MSFFDT4007 Prepare and present furniture design information</w:t>
      </w:r>
      <w:r>
        <w:fldChar w:fldCharType="end"/>
      </w:r>
    </w:p>
    <w:p w:rsidR="00DB542D" w:rsidP="00DB542D">
      <w:pPr>
        <w:pStyle w:val="Version"/>
        <w:sectPr w:rsidSect="00DE0A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0AC2" w:rsidP="00DE0AC2">
      <w:pPr>
        <w:pStyle w:val="SuperHeading"/>
      </w:pPr>
      <w:r w:rsidRPr="00DE0AC2">
        <w:t>MSFFDT4007 Prepare and present furniture design information</w:t>
      </w:r>
    </w:p>
    <w:p w:rsidR="00000000" w:rsidRPr="00DE0AC2" w:rsidP="00DE0AC2">
      <w:pPr>
        <w:pStyle w:val="Heading1"/>
      </w:pPr>
      <w:bookmarkStart w:id="1" w:name="O_631552"/>
      <w:bookmarkEnd w:id="1"/>
      <w:r w:rsidRPr="00DE0AC2">
        <w:t>Modification History</w:t>
      </w:r>
    </w:p>
    <w:p w:rsidR="00000000" w:rsidRPr="00DE0AC2" w:rsidP="00DB542D">
      <w:pPr>
        <w:pStyle w:val="BodyText"/>
      </w:pPr>
      <w:r w:rsidRPr="00DE0AC2">
        <w:t>Release 1 - New unit of competency</w:t>
      </w:r>
    </w:p>
    <w:p w:rsidR="00000000" w:rsidRPr="00DE0AC2" w:rsidP="00DE0AC2">
      <w:pPr>
        <w:pStyle w:val="Heading1"/>
      </w:pPr>
      <w:bookmarkStart w:id="2" w:name="O_631560"/>
      <w:bookmarkEnd w:id="2"/>
      <w:r w:rsidRPr="00DE0AC2">
        <w:t>Application</w:t>
      </w:r>
    </w:p>
    <w:p w:rsidR="00000000" w:rsidRPr="00DE0AC2" w:rsidP="00DB542D">
      <w:pPr>
        <w:pStyle w:val="BodyText"/>
      </w:pPr>
      <w:r w:rsidRPr="00DE0AC2">
        <w:t>This unit of competency covers preparing and presenting a range of design concepts as solutions to a design brief in accordance with integral design elemen</w:t>
      </w:r>
      <w:r w:rsidRPr="00DE0AC2">
        <w:t>ts and principles in an industry workplace or design studio environment. It involves application of skills and knowledge at a supervisory or equivalent level.</w:t>
      </w:r>
    </w:p>
    <w:p w:rsidR="00000000" w:rsidRPr="00DE0AC2" w:rsidP="00DB542D">
      <w:pPr>
        <w:pStyle w:val="BodyText"/>
      </w:pPr>
      <w:r w:rsidRPr="00DE0AC2">
        <w:t>No licensing, legislative or certification requirements apply to this unit at the time of public</w:t>
      </w:r>
      <w:r w:rsidRPr="00DE0AC2">
        <w:t>ation.</w:t>
      </w:r>
    </w:p>
    <w:p w:rsidR="00000000" w:rsidRPr="00DE0AC2" w:rsidP="00DE0AC2">
      <w:pPr>
        <w:pStyle w:val="Heading1"/>
      </w:pPr>
      <w:bookmarkStart w:id="3" w:name="O_631559"/>
      <w:bookmarkEnd w:id="3"/>
      <w:r w:rsidRPr="00DE0AC2">
        <w:t>Pre-requisite Unit</w:t>
      </w:r>
    </w:p>
    <w:p w:rsidR="00000000" w:rsidRPr="00DE0AC2" w:rsidP="00DE0AC2">
      <w:pPr>
        <w:pStyle w:val="Heading1"/>
      </w:pPr>
      <w:bookmarkStart w:id="4" w:name="O_631558"/>
      <w:bookmarkEnd w:id="4"/>
      <w:r w:rsidRPr="00DE0AC2">
        <w:t>Competency Field</w:t>
      </w:r>
    </w:p>
    <w:p w:rsidR="00000000" w:rsidRPr="00DE0AC2" w:rsidP="00DE0AC2">
      <w:pPr>
        <w:pStyle w:val="Heading1"/>
      </w:pPr>
      <w:bookmarkStart w:id="5" w:name="O_631557"/>
      <w:bookmarkEnd w:id="5"/>
      <w:r w:rsidRPr="00DE0AC2">
        <w:t>Unit Sector</w:t>
      </w:r>
    </w:p>
    <w:p w:rsidR="00000000" w:rsidRPr="00DE0AC2" w:rsidP="00DB542D">
      <w:pPr>
        <w:pStyle w:val="BodyText"/>
      </w:pPr>
      <w:r w:rsidRPr="00DE0AC2">
        <w:t>Furniture design and technology</w:t>
      </w:r>
    </w:p>
    <w:p w:rsidR="00000000" w:rsidRPr="00DE0AC2" w:rsidP="00DE0AC2">
      <w:pPr>
        <w:pStyle w:val="Heading1"/>
      </w:pPr>
      <w:bookmarkStart w:id="6" w:name="O_631556"/>
      <w:bookmarkEnd w:id="6"/>
      <w:r w:rsidRPr="00DE0AC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E0AC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Performance criteria descr</w:t>
            </w:r>
            <w:r w:rsidRPr="00DE0AC2">
              <w:t>ibe the performance needed to demonstrate achievement of the element.</w:t>
            </w:r>
          </w:p>
        </w:tc>
      </w:tr>
      <w:tr w:rsidTr="00DE0AC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1</w:t>
            </w:r>
          </w:p>
        </w:tc>
        <w:tc>
          <w:tcPr>
            <w:tcW w:w="1962" w:type="dxa"/>
            <w:vMerge w:val="restart"/>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Plan for presentation of design information</w:t>
            </w:r>
          </w:p>
        </w:tc>
        <w:tc>
          <w:tcPr>
            <w:tcW w:w="77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1.1</w:t>
            </w:r>
          </w:p>
        </w:tc>
        <w:tc>
          <w:tcPr>
            <w:tcW w:w="561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Applicable work health and safety (WHS), legislative and o</w:t>
            </w:r>
            <w:r w:rsidRPr="00DE0AC2">
              <w:t>rganisational requirements relevant to producing design development sketches and drawings are verified and complied with</w:t>
            </w:r>
          </w:p>
        </w:tc>
      </w:tr>
      <w:tr w:rsidTr="00DE0A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1.2</w:t>
            </w:r>
          </w:p>
        </w:tc>
        <w:tc>
          <w:tcPr>
            <w:tcW w:w="561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Design brief is reviewed, confirmed and clarified with appropriate personnel</w:t>
            </w:r>
          </w:p>
        </w:tc>
      </w:tr>
      <w:tr w:rsidTr="00DE0A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1.3</w:t>
            </w:r>
          </w:p>
        </w:tc>
        <w:tc>
          <w:tcPr>
            <w:tcW w:w="561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 xml:space="preserve">Type </w:t>
            </w:r>
            <w:r w:rsidRPr="00DE0AC2">
              <w:t>and quantity of concepts to be presented are assessed from the design brief</w:t>
            </w:r>
          </w:p>
        </w:tc>
      </w:tr>
      <w:tr w:rsidTr="00DE0A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1.4</w:t>
            </w:r>
          </w:p>
        </w:tc>
        <w:tc>
          <w:tcPr>
            <w:tcW w:w="561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Presentation equipment is selected appropriate to work requirements and checked for operational effectiveness in accordance with manufacturer recommendations</w:t>
            </w:r>
          </w:p>
        </w:tc>
      </w:tr>
      <w:tr w:rsidTr="00DE0A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1.5</w:t>
            </w:r>
          </w:p>
        </w:tc>
        <w:tc>
          <w:tcPr>
            <w:tcW w:w="561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Communic</w:t>
            </w:r>
            <w:r w:rsidRPr="00DE0AC2">
              <w:t>ation with others is established and maintained in accordance with WHS requirements</w:t>
            </w:r>
          </w:p>
        </w:tc>
      </w:tr>
      <w:tr w:rsidTr="00DE0AC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2</w:t>
            </w:r>
          </w:p>
        </w:tc>
        <w:tc>
          <w:tcPr>
            <w:tcW w:w="1962" w:type="dxa"/>
            <w:vMerge w:val="restart"/>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Present design information</w:t>
            </w:r>
          </w:p>
        </w:tc>
        <w:tc>
          <w:tcPr>
            <w:tcW w:w="77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2.1</w:t>
            </w:r>
          </w:p>
        </w:tc>
        <w:tc>
          <w:tcPr>
            <w:tcW w:w="561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Concept sketches are presented as solutions to the design brief and for the audience</w:t>
            </w:r>
          </w:p>
        </w:tc>
      </w:tr>
      <w:tr w:rsidTr="00DE0A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2.2</w:t>
            </w:r>
          </w:p>
        </w:tc>
        <w:tc>
          <w:tcPr>
            <w:tcW w:w="561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Sketches are represented as ideation drawings and presented using presentation boards and portfolios</w:t>
            </w:r>
          </w:p>
        </w:tc>
      </w:tr>
      <w:tr w:rsidTr="00DE0A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2.3</w:t>
            </w:r>
          </w:p>
        </w:tc>
        <w:tc>
          <w:tcPr>
            <w:tcW w:w="561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Freehand development drawings are incorporated into the presentation to represent the construction and joints</w:t>
            </w:r>
          </w:p>
        </w:tc>
      </w:tr>
      <w:tr w:rsidTr="00DE0A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2.4</w:t>
            </w:r>
          </w:p>
        </w:tc>
        <w:tc>
          <w:tcPr>
            <w:tcW w:w="561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 xml:space="preserve">Working drawings are presented </w:t>
            </w:r>
            <w:r w:rsidRPr="00DE0AC2">
              <w:t>to represent final measurements and specifications</w:t>
            </w:r>
          </w:p>
        </w:tc>
      </w:tr>
      <w:tr w:rsidTr="00DE0A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2.5</w:t>
            </w:r>
          </w:p>
        </w:tc>
        <w:tc>
          <w:tcPr>
            <w:tcW w:w="561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Concepts and their elements of design are promoted, explained and evaluated for the audience</w:t>
            </w:r>
          </w:p>
        </w:tc>
      </w:tr>
      <w:tr w:rsidTr="00DE0A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2.6</w:t>
            </w:r>
          </w:p>
        </w:tc>
        <w:tc>
          <w:tcPr>
            <w:tcW w:w="561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Concepts and their principles of design are promoted, explained and evaluated for the audience</w:t>
            </w:r>
          </w:p>
        </w:tc>
      </w:tr>
      <w:tr w:rsidTr="00DE0A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2.7</w:t>
            </w:r>
          </w:p>
        </w:tc>
        <w:tc>
          <w:tcPr>
            <w:tcW w:w="561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Presentation of design information is made using multimedia and computer-based strategies</w:t>
            </w:r>
          </w:p>
        </w:tc>
      </w:tr>
      <w:tr w:rsidTr="00DE0AC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3</w:t>
            </w:r>
          </w:p>
        </w:tc>
        <w:tc>
          <w:tcPr>
            <w:tcW w:w="1962" w:type="dxa"/>
            <w:vMerge w:val="restart"/>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Present manufacturing information</w:t>
            </w:r>
          </w:p>
        </w:tc>
        <w:tc>
          <w:tcPr>
            <w:tcW w:w="77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3.1</w:t>
            </w:r>
          </w:p>
        </w:tc>
        <w:tc>
          <w:tcPr>
            <w:tcW w:w="561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Maquettes of concepts are presented for discussion and viewing</w:t>
            </w:r>
          </w:p>
        </w:tc>
      </w:tr>
      <w:tr w:rsidTr="00DE0A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3.2</w:t>
            </w:r>
          </w:p>
        </w:tc>
        <w:tc>
          <w:tcPr>
            <w:tcW w:w="561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Prototypes or samples are presented for viewing and aesthetic value</w:t>
            </w:r>
          </w:p>
        </w:tc>
      </w:tr>
      <w:tr w:rsidTr="00DE0A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3.3</w:t>
            </w:r>
          </w:p>
        </w:tc>
        <w:tc>
          <w:tcPr>
            <w:tcW w:w="561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Sample joints or joining techniques are presented to support the design theory</w:t>
            </w:r>
          </w:p>
        </w:tc>
      </w:tr>
      <w:tr w:rsidTr="00DE0A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3.4</w:t>
            </w:r>
          </w:p>
        </w:tc>
        <w:tc>
          <w:tcPr>
            <w:tcW w:w="561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Alternative manufacturing techniques are presented and promoted</w:t>
            </w:r>
          </w:p>
        </w:tc>
      </w:tr>
      <w:tr w:rsidTr="00DE0A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3.5</w:t>
            </w:r>
          </w:p>
        </w:tc>
        <w:tc>
          <w:tcPr>
            <w:tcW w:w="561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Material options are presented and promoted</w:t>
            </w:r>
          </w:p>
        </w:tc>
      </w:tr>
      <w:tr w:rsidTr="00DE0A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3.6</w:t>
            </w:r>
          </w:p>
        </w:tc>
        <w:tc>
          <w:tcPr>
            <w:tcW w:w="561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Assembly and finishing techniques and processes are presented and promoted</w:t>
            </w:r>
          </w:p>
        </w:tc>
      </w:tr>
      <w:tr w:rsidTr="00DE0A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3.7</w:t>
            </w:r>
          </w:p>
        </w:tc>
        <w:tc>
          <w:tcPr>
            <w:tcW w:w="5610" w:type="dxa"/>
            <w:tcBorders>
              <w:top w:val="nil"/>
              <w:left w:val="nil"/>
              <w:bottom w:val="nil"/>
              <w:right w:val="nil"/>
            </w:tcBorders>
            <w:tcMar>
              <w:top w:w="0" w:type="dxa"/>
              <w:left w:w="62" w:type="dxa"/>
              <w:bottom w:w="0" w:type="dxa"/>
              <w:right w:w="62" w:type="dxa"/>
            </w:tcMar>
          </w:tcPr>
          <w:p w:rsidR="00000000" w:rsidRPr="00DE0AC2" w:rsidP="00DE0AC2">
            <w:pPr>
              <w:pStyle w:val="BodyText"/>
            </w:pPr>
            <w:r w:rsidRPr="00DE0AC2">
              <w:t>Concept manufacturing process is evaluated and presented using multimedia and computer-based strategies</w:t>
            </w:r>
          </w:p>
        </w:tc>
      </w:tr>
    </w:tbl>
    <w:p w:rsidR="00DB542D" w:rsidP="00DE0AC2">
      <w:pPr>
        <w:pStyle w:val="BodyText"/>
      </w:pPr>
    </w:p>
    <w:p w:rsidR="00DB542D" w:rsidP="00DE0AC2">
      <w:pPr>
        <w:pStyle w:val="BodyText"/>
      </w:pPr>
    </w:p>
    <w:p w:rsidR="00000000" w:rsidRPr="00DE0AC2" w:rsidP="00DE0AC2">
      <w:pPr>
        <w:pStyle w:val="Heading1"/>
      </w:pPr>
      <w:bookmarkStart w:id="7" w:name="O_631555"/>
      <w:bookmarkEnd w:id="7"/>
      <w:r w:rsidRPr="00DE0AC2">
        <w:t>Foundation Skills</w:t>
      </w:r>
    </w:p>
    <w:p w:rsidR="00DB542D" w:rsidP="00DB542D">
      <w:pPr>
        <w:pStyle w:val="BodyText"/>
      </w:pPr>
      <w:r w:rsidRPr="00DE0AC2">
        <w:t xml:space="preserve">Foundation skills essential to performance are explicit in the performance criteria of this unit of competency. Detail on appropriate performance levels for each </w:t>
      </w:r>
      <w:r w:rsidRPr="00DE0AC2">
        <w:t xml:space="preserve">furnishing unit of competency in reading, writing, oral communication and numeracy utilising the Australian Core Skills Framework (ACSF) are provided in the Furnishing Training Package Implementation Guide. </w:t>
      </w:r>
    </w:p>
    <w:p w:rsidR="00000000" w:rsidRPr="00DE0AC2" w:rsidP="00DE0AC2">
      <w:pPr>
        <w:pStyle w:val="Heading1"/>
      </w:pPr>
      <w:bookmarkStart w:id="8" w:name="O_631554"/>
      <w:bookmarkEnd w:id="8"/>
      <w:r w:rsidRPr="00DE0AC2">
        <w:t>Range of Conditions</w:t>
      </w:r>
    </w:p>
    <w:tbl>
      <w:tblPr>
        <w:tblW w:w="0" w:type="auto"/>
        <w:tblLayout w:type="fixed"/>
        <w:tblCellMar>
          <w:left w:w="62" w:type="dxa"/>
          <w:right w:w="62" w:type="dxa"/>
        </w:tblCellMar>
        <w:tblLook w:val="0000"/>
      </w:tblPr>
      <w:tblGrid>
        <w:gridCol w:w="2760"/>
        <w:gridCol w:w="6312"/>
      </w:tblGrid>
      <w:tr w:rsidTr="00DE0A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t xml:space="preserve">Specifies </w:t>
            </w:r>
            <w:r w:rsidRPr="00DE0AC2">
              <w:t>different work environments and conditions that may affect performance. Essential operating conditions that may be present (depending on the work situation, needs of the candidate, accessibility of the item, and local industry and regional contexts) are in</w:t>
            </w:r>
            <w:r w:rsidRPr="00DE0AC2">
              <w:t>cluded. Range is restricted to essential operating conditions and any other variables essential to the work environment.</w:t>
            </w:r>
          </w:p>
        </w:tc>
      </w:tr>
      <w:tr w:rsidTr="00DE0AC2">
        <w:tblPrEx>
          <w:tblW w:w="0" w:type="auto"/>
          <w:tblLayout w:type="fixed"/>
          <w:tblCellMar>
            <w:left w:w="62" w:type="dxa"/>
            <w:right w:w="62" w:type="dxa"/>
          </w:tblCellMar>
          <w:tblLook w:val="0000"/>
        </w:tblPrEx>
        <w:trPr>
          <w:trHeight w:val="3054"/>
        </w:trPr>
        <w:tc>
          <w:tcPr>
            <w:tcW w:w="276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E0AC2" w:rsidP="00DE0AC2">
            <w:pPr>
              <w:pStyle w:val="ListBullet"/>
            </w:pPr>
            <w:r w:rsidRPr="00DE0AC2">
              <w:t>WHS requirements, including legislation, building codes, material safety management systems, hazardous and da</w:t>
            </w:r>
            <w:r w:rsidRPr="00DE0AC2">
              <w:t xml:space="preserve">ngerous goods codes, and local safe operating procedures or equivalent </w:t>
            </w:r>
          </w:p>
          <w:p w:rsidR="00000000" w:rsidRPr="00DE0AC2" w:rsidP="00DE0AC2">
            <w:pPr>
              <w:pStyle w:val="ListBullet"/>
            </w:pPr>
            <w:r w:rsidRPr="00DE0AC2">
              <w:t>work is carried out in accordance with legislative obligations, environmental legislation, relevant health regulations, manual handling procedures and organisation insurance requiremen</w:t>
            </w:r>
            <w:r w:rsidRPr="00DE0AC2">
              <w:t xml:space="preserve">ts </w:t>
            </w:r>
          </w:p>
          <w:p w:rsidR="00000000" w:rsidRPr="00DE0AC2" w:rsidP="00DE0AC2">
            <w:pPr>
              <w:pStyle w:val="ListBullet"/>
            </w:pPr>
            <w:r w:rsidRPr="00DE0AC2">
              <w:t xml:space="preserve">work requires individuals to demonstrate conceptual and analytical ability, discretion, judgement and problem solving </w:t>
            </w:r>
          </w:p>
          <w:p w:rsidR="00000000" w:rsidP="00DE0AC2">
            <w:pPr>
              <w:pStyle w:val="ListBullet"/>
              <w:rPr>
                <w:lang w:val="en-NZ"/>
              </w:rPr>
            </w:pPr>
            <w:r w:rsidRPr="00DE0AC2">
              <w:t>customers or suppliers may be internal or external</w:t>
            </w:r>
          </w:p>
        </w:tc>
      </w:tr>
      <w:tr w:rsidTr="00DE0A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DE0AC2" w:rsidP="00DE0AC2">
            <w:pPr>
              <w:pStyle w:val="ListBullet"/>
            </w:pPr>
            <w:r w:rsidRPr="00DE0AC2">
              <w:t xml:space="preserve">the aims, objectives, milestones for the design project </w:t>
            </w:r>
          </w:p>
          <w:p w:rsidR="00000000" w:rsidRPr="00DE0AC2" w:rsidP="00DE0AC2">
            <w:pPr>
              <w:pStyle w:val="ListBullet"/>
            </w:pPr>
            <w:r w:rsidRPr="00DE0AC2">
              <w:t xml:space="preserve">organisational or personal profiles </w:t>
            </w:r>
          </w:p>
          <w:p w:rsidR="00000000" w:rsidRPr="00DE0AC2" w:rsidP="00DE0AC2">
            <w:pPr>
              <w:pStyle w:val="ListBullet"/>
            </w:pPr>
            <w:r w:rsidRPr="00DE0AC2">
              <w:t xml:space="preserve">target audience </w:t>
            </w:r>
          </w:p>
          <w:p w:rsidR="00000000" w:rsidRPr="00DE0AC2" w:rsidP="00DE0AC2">
            <w:pPr>
              <w:pStyle w:val="ListBullet"/>
            </w:pPr>
            <w:r w:rsidRPr="00DE0AC2">
              <w:t xml:space="preserve">budget </w:t>
            </w:r>
          </w:p>
          <w:p w:rsidR="00000000" w:rsidRPr="00DE0AC2" w:rsidP="00DE0AC2">
            <w:pPr>
              <w:pStyle w:val="ListBullet"/>
            </w:pPr>
            <w:r w:rsidRPr="00DE0AC2">
              <w:t>timeline</w:t>
            </w:r>
          </w:p>
          <w:p w:rsidR="00000000" w:rsidRPr="00DE0AC2" w:rsidP="00DE0AC2">
            <w:pPr>
              <w:pStyle w:val="ListBullet"/>
            </w:pPr>
            <w:r w:rsidRPr="00DE0AC2">
              <w:t>consultation requirements</w:t>
            </w:r>
          </w:p>
          <w:p w:rsidR="00000000" w:rsidRPr="00DE0AC2" w:rsidP="00DE0AC2">
            <w:pPr>
              <w:pStyle w:val="ListBullet"/>
            </w:pPr>
            <w:r w:rsidRPr="00DE0AC2">
              <w:t xml:space="preserve">colour requirements </w:t>
            </w:r>
          </w:p>
          <w:p w:rsidR="00000000" w:rsidRPr="00DE0AC2" w:rsidP="00DE0AC2">
            <w:pPr>
              <w:pStyle w:val="ListBullet"/>
            </w:pPr>
            <w:r w:rsidRPr="00DE0AC2">
              <w:t xml:space="preserve">image requirements </w:t>
            </w:r>
          </w:p>
          <w:p w:rsidR="00000000" w:rsidP="00DE0AC2">
            <w:pPr>
              <w:pStyle w:val="ListBullet"/>
              <w:rPr>
                <w:lang w:val="en-NZ"/>
              </w:rPr>
            </w:pPr>
            <w:r w:rsidRPr="00DE0AC2">
              <w:t>function</w:t>
            </w:r>
          </w:p>
        </w:tc>
      </w:tr>
      <w:tr w:rsidTr="00DE0A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DE0AC2" w:rsidP="00DE0AC2">
            <w:pPr>
              <w:pStyle w:val="ListBullet"/>
            </w:pPr>
            <w:r w:rsidRPr="00DE0AC2">
              <w:t xml:space="preserve">trainers </w:t>
            </w:r>
          </w:p>
          <w:p w:rsidR="00000000" w:rsidRPr="00DE0AC2" w:rsidP="00DE0AC2">
            <w:pPr>
              <w:pStyle w:val="ListBullet"/>
            </w:pPr>
            <w:r w:rsidRPr="00DE0AC2">
              <w:t>supervisors</w:t>
            </w:r>
          </w:p>
          <w:p w:rsidR="00000000" w:rsidRPr="00DE0AC2" w:rsidP="00DE0AC2">
            <w:pPr>
              <w:pStyle w:val="ListBullet"/>
            </w:pPr>
            <w:r w:rsidRPr="00DE0AC2">
              <w:t>suppliers</w:t>
            </w:r>
          </w:p>
          <w:p w:rsidR="00000000" w:rsidRPr="00DE0AC2" w:rsidP="00DE0AC2">
            <w:pPr>
              <w:pStyle w:val="ListBullet"/>
            </w:pPr>
            <w:r w:rsidRPr="00DE0AC2">
              <w:t xml:space="preserve">clients </w:t>
            </w:r>
          </w:p>
          <w:p w:rsidR="00000000" w:rsidRPr="00DE0AC2" w:rsidP="00DE0AC2">
            <w:pPr>
              <w:pStyle w:val="ListBullet"/>
            </w:pPr>
            <w:r w:rsidRPr="00DE0AC2">
              <w:t xml:space="preserve">colleagues </w:t>
            </w:r>
          </w:p>
          <w:p w:rsidR="00000000" w:rsidP="00DE0AC2">
            <w:pPr>
              <w:pStyle w:val="ListBullet"/>
              <w:rPr>
                <w:lang w:val="en-NZ"/>
              </w:rPr>
            </w:pPr>
            <w:r w:rsidRPr="00DE0AC2">
              <w:t>managers</w:t>
            </w:r>
          </w:p>
        </w:tc>
      </w:tr>
      <w:tr w:rsidTr="00DE0A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rPr>
                <w:rStyle w:val="SpecialBold"/>
              </w:rPr>
              <w:t>Concepts include:</w:t>
            </w:r>
          </w:p>
        </w:tc>
        <w:tc>
          <w:tcPr>
            <w:tcW w:w="6312" w:type="dxa"/>
            <w:tcBorders>
              <w:top w:val="nil"/>
              <w:left w:val="nil"/>
              <w:bottom w:val="nil"/>
              <w:right w:val="nil"/>
            </w:tcBorders>
            <w:tcMar>
              <w:top w:w="0" w:type="dxa"/>
              <w:left w:w="62" w:type="dxa"/>
              <w:bottom w:w="0" w:type="dxa"/>
              <w:right w:w="62" w:type="dxa"/>
            </w:tcMar>
          </w:tcPr>
          <w:p w:rsidR="00000000" w:rsidP="00DE0AC2">
            <w:pPr>
              <w:pStyle w:val="ListBullet"/>
              <w:rPr>
                <w:lang w:val="en-NZ"/>
              </w:rPr>
            </w:pPr>
            <w:r w:rsidRPr="00DE0AC2">
              <w:t>ideas generated to respond to the design brief through both ideation drawings or sketching and written explanation</w:t>
            </w:r>
          </w:p>
        </w:tc>
      </w:tr>
      <w:tr w:rsidTr="00DE0A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rPr>
                <w:rStyle w:val="SpecialBold"/>
              </w:rPr>
              <w:t>Presentation equipment include:</w:t>
            </w:r>
          </w:p>
        </w:tc>
        <w:tc>
          <w:tcPr>
            <w:tcW w:w="6312" w:type="dxa"/>
            <w:tcBorders>
              <w:top w:val="nil"/>
              <w:left w:val="nil"/>
              <w:bottom w:val="nil"/>
              <w:right w:val="nil"/>
            </w:tcBorders>
            <w:tcMar>
              <w:top w:w="0" w:type="dxa"/>
              <w:left w:w="62" w:type="dxa"/>
              <w:bottom w:w="0" w:type="dxa"/>
              <w:right w:w="62" w:type="dxa"/>
            </w:tcMar>
          </w:tcPr>
          <w:p w:rsidR="00000000" w:rsidRPr="00DE0AC2" w:rsidP="00DE0AC2">
            <w:pPr>
              <w:pStyle w:val="ListBullet"/>
            </w:pPr>
            <w:r w:rsidRPr="00DE0AC2">
              <w:t>presentation boards</w:t>
            </w:r>
          </w:p>
          <w:p w:rsidR="00000000" w:rsidRPr="00DE0AC2" w:rsidP="00DE0AC2">
            <w:pPr>
              <w:pStyle w:val="ListBullet"/>
            </w:pPr>
            <w:r w:rsidRPr="00DE0AC2">
              <w:t xml:space="preserve">portfolios </w:t>
            </w:r>
          </w:p>
          <w:p w:rsidR="00000000" w:rsidRPr="00DE0AC2" w:rsidP="00DE0AC2">
            <w:pPr>
              <w:pStyle w:val="ListBullet"/>
            </w:pPr>
            <w:r w:rsidRPr="00DE0AC2">
              <w:t>photography</w:t>
            </w:r>
          </w:p>
          <w:p w:rsidR="00000000" w:rsidRPr="00DE0AC2" w:rsidP="00DE0AC2">
            <w:pPr>
              <w:pStyle w:val="ListBullet"/>
            </w:pPr>
            <w:r w:rsidRPr="00DE0AC2">
              <w:t xml:space="preserve">data projectors </w:t>
            </w:r>
          </w:p>
          <w:p w:rsidR="00000000" w:rsidRPr="00DE0AC2" w:rsidP="00DE0AC2">
            <w:pPr>
              <w:pStyle w:val="ListBullet"/>
            </w:pPr>
            <w:r w:rsidRPr="00DE0AC2">
              <w:t xml:space="preserve">video </w:t>
            </w:r>
          </w:p>
          <w:p w:rsidR="00000000" w:rsidP="00DE0AC2">
            <w:pPr>
              <w:pStyle w:val="ListBullet"/>
              <w:rPr>
                <w:lang w:val="en-NZ"/>
              </w:rPr>
            </w:pPr>
            <w:r w:rsidRPr="00DE0AC2">
              <w:t>other forms of multimedia</w:t>
            </w:r>
          </w:p>
        </w:tc>
      </w:tr>
      <w:tr w:rsidTr="00DE0A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rPr>
                <w:rStyle w:val="SpecialBold"/>
              </w:rPr>
              <w:t>Sketches include:</w:t>
            </w:r>
          </w:p>
        </w:tc>
        <w:tc>
          <w:tcPr>
            <w:tcW w:w="6312" w:type="dxa"/>
            <w:tcBorders>
              <w:top w:val="nil"/>
              <w:left w:val="nil"/>
              <w:bottom w:val="nil"/>
              <w:right w:val="nil"/>
            </w:tcBorders>
            <w:tcMar>
              <w:top w:w="0" w:type="dxa"/>
              <w:left w:w="62" w:type="dxa"/>
              <w:bottom w:w="0" w:type="dxa"/>
              <w:right w:w="62" w:type="dxa"/>
            </w:tcMar>
          </w:tcPr>
          <w:p w:rsidR="00000000" w:rsidRPr="00DE0AC2" w:rsidP="00DE0AC2">
            <w:pPr>
              <w:pStyle w:val="ListBullet"/>
            </w:pPr>
            <w:r w:rsidRPr="00DE0AC2">
              <w:t xml:space="preserve">hand drawn images </w:t>
            </w:r>
          </w:p>
          <w:p w:rsidR="00000000" w:rsidP="00DE0AC2">
            <w:pPr>
              <w:pStyle w:val="ListBullet"/>
              <w:rPr>
                <w:lang w:val="en-NZ"/>
              </w:rPr>
            </w:pPr>
            <w:r w:rsidRPr="00DE0AC2">
              <w:t>ideation drawings completed freehand</w:t>
            </w:r>
          </w:p>
        </w:tc>
      </w:tr>
      <w:tr w:rsidTr="00DE0A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rPr>
                <w:rStyle w:val="SpecialBold"/>
              </w:rPr>
              <w:t>Audience includes:</w:t>
            </w:r>
          </w:p>
        </w:tc>
        <w:tc>
          <w:tcPr>
            <w:tcW w:w="6312" w:type="dxa"/>
            <w:tcBorders>
              <w:top w:val="nil"/>
              <w:left w:val="nil"/>
              <w:bottom w:val="nil"/>
              <w:right w:val="nil"/>
            </w:tcBorders>
            <w:tcMar>
              <w:top w:w="0" w:type="dxa"/>
              <w:left w:w="62" w:type="dxa"/>
              <w:bottom w:w="0" w:type="dxa"/>
              <w:right w:w="62" w:type="dxa"/>
            </w:tcMar>
          </w:tcPr>
          <w:p w:rsidR="00000000" w:rsidRPr="00DE0AC2" w:rsidP="00DE0AC2">
            <w:pPr>
              <w:pStyle w:val="ListBullet"/>
            </w:pPr>
            <w:r w:rsidRPr="00DE0AC2">
              <w:t xml:space="preserve">suppliers </w:t>
            </w:r>
          </w:p>
          <w:p w:rsidR="00000000" w:rsidRPr="00DE0AC2" w:rsidP="00DE0AC2">
            <w:pPr>
              <w:pStyle w:val="ListBullet"/>
            </w:pPr>
            <w:r w:rsidRPr="00DE0AC2">
              <w:t>manufacturers</w:t>
            </w:r>
          </w:p>
          <w:p w:rsidR="00000000" w:rsidRPr="00DE0AC2" w:rsidP="00DE0AC2">
            <w:pPr>
              <w:pStyle w:val="ListBullet"/>
            </w:pPr>
            <w:r w:rsidRPr="00DE0AC2">
              <w:t>private clients</w:t>
            </w:r>
          </w:p>
          <w:p w:rsidR="00000000" w:rsidRPr="00DE0AC2" w:rsidP="00DE0AC2">
            <w:pPr>
              <w:pStyle w:val="ListBullet"/>
            </w:pPr>
            <w:r w:rsidRPr="00DE0AC2">
              <w:t>colleagues</w:t>
            </w:r>
          </w:p>
          <w:p w:rsidR="00000000" w:rsidRPr="00DE0AC2" w:rsidP="00DE0AC2">
            <w:pPr>
              <w:pStyle w:val="ListBullet"/>
            </w:pPr>
            <w:r w:rsidRPr="00DE0AC2">
              <w:t xml:space="preserve">retailers </w:t>
            </w:r>
          </w:p>
          <w:p w:rsidR="00000000" w:rsidP="00DE0AC2">
            <w:pPr>
              <w:pStyle w:val="ListBullet"/>
              <w:rPr>
                <w:lang w:val="en-NZ"/>
              </w:rPr>
            </w:pPr>
            <w:r w:rsidRPr="00DE0AC2">
              <w:t>the public</w:t>
            </w:r>
          </w:p>
        </w:tc>
      </w:tr>
      <w:tr w:rsidTr="00DE0A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rPr>
                <w:rStyle w:val="SpecialBold"/>
              </w:rPr>
              <w:t>Ideation drawings include:</w:t>
            </w:r>
          </w:p>
        </w:tc>
        <w:tc>
          <w:tcPr>
            <w:tcW w:w="6312" w:type="dxa"/>
            <w:tcBorders>
              <w:top w:val="nil"/>
              <w:left w:val="nil"/>
              <w:bottom w:val="nil"/>
              <w:right w:val="nil"/>
            </w:tcBorders>
            <w:tcMar>
              <w:top w:w="0" w:type="dxa"/>
              <w:left w:w="62" w:type="dxa"/>
              <w:bottom w:w="0" w:type="dxa"/>
              <w:right w:w="62" w:type="dxa"/>
            </w:tcMar>
          </w:tcPr>
          <w:p w:rsidR="00000000" w:rsidP="00DE0AC2">
            <w:pPr>
              <w:pStyle w:val="ListBullet"/>
              <w:rPr>
                <w:lang w:val="en-NZ"/>
              </w:rPr>
            </w:pPr>
            <w:r w:rsidRPr="00DE0AC2">
              <w:t>freehand drawings which represent a product as a story and methodology to the design brief solution</w:t>
            </w:r>
          </w:p>
        </w:tc>
      </w:tr>
      <w:tr w:rsidTr="00DE0A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rPr>
                <w:rStyle w:val="SpecialBold"/>
              </w:rPr>
              <w:t>Freehand development drawings include:</w:t>
            </w:r>
          </w:p>
        </w:tc>
        <w:tc>
          <w:tcPr>
            <w:tcW w:w="6312" w:type="dxa"/>
            <w:tcBorders>
              <w:top w:val="nil"/>
              <w:left w:val="nil"/>
              <w:bottom w:val="nil"/>
              <w:right w:val="nil"/>
            </w:tcBorders>
            <w:tcMar>
              <w:top w:w="0" w:type="dxa"/>
              <w:left w:w="62" w:type="dxa"/>
              <w:bottom w:w="0" w:type="dxa"/>
              <w:right w:w="62" w:type="dxa"/>
            </w:tcMar>
          </w:tcPr>
          <w:p w:rsidR="00000000" w:rsidRPr="00DE0AC2" w:rsidP="00DE0AC2">
            <w:pPr>
              <w:pStyle w:val="ListBullet"/>
            </w:pPr>
            <w:r w:rsidRPr="00DE0AC2">
              <w:t xml:space="preserve">isometric </w:t>
            </w:r>
          </w:p>
          <w:p w:rsidR="00000000" w:rsidRPr="00DE0AC2" w:rsidP="00DE0AC2">
            <w:pPr>
              <w:pStyle w:val="ListBullet"/>
            </w:pPr>
            <w:r w:rsidRPr="00DE0AC2">
              <w:t>oblique</w:t>
            </w:r>
          </w:p>
          <w:p w:rsidR="00000000" w:rsidRPr="00DE0AC2" w:rsidP="00DE0AC2">
            <w:pPr>
              <w:pStyle w:val="ListBullet"/>
            </w:pPr>
            <w:r w:rsidRPr="00DE0AC2">
              <w:t xml:space="preserve">perspective </w:t>
            </w:r>
          </w:p>
          <w:p w:rsidR="00000000" w:rsidRPr="00DE0AC2" w:rsidP="00DE0AC2">
            <w:pPr>
              <w:pStyle w:val="ListBullet"/>
            </w:pPr>
            <w:r w:rsidRPr="00DE0AC2">
              <w:t xml:space="preserve">orthographic </w:t>
            </w:r>
          </w:p>
          <w:p w:rsidR="00000000" w:rsidRPr="00DE0AC2" w:rsidP="00DE0AC2">
            <w:pPr>
              <w:pStyle w:val="ListBullet"/>
            </w:pPr>
            <w:r w:rsidRPr="00DE0AC2">
              <w:t xml:space="preserve">elevation drawings </w:t>
            </w:r>
          </w:p>
          <w:p w:rsidR="00000000" w:rsidP="00DE0AC2">
            <w:pPr>
              <w:pStyle w:val="ListBullet"/>
              <w:rPr>
                <w:lang w:val="en-NZ"/>
              </w:rPr>
            </w:pPr>
            <w:r w:rsidRPr="00DE0AC2">
              <w:t>those which explode the parts of the concept sket</w:t>
            </w:r>
            <w:r w:rsidRPr="00DE0AC2">
              <w:t>ches and include rough sizes, scale, tones and values</w:t>
            </w:r>
          </w:p>
        </w:tc>
      </w:tr>
      <w:tr w:rsidTr="00DE0A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rPr>
                <w:rStyle w:val="SpecialBold"/>
              </w:rPr>
              <w:t>Working drawings include:</w:t>
            </w:r>
          </w:p>
        </w:tc>
        <w:tc>
          <w:tcPr>
            <w:tcW w:w="6312" w:type="dxa"/>
            <w:tcBorders>
              <w:top w:val="nil"/>
              <w:left w:val="nil"/>
              <w:bottom w:val="nil"/>
              <w:right w:val="nil"/>
            </w:tcBorders>
            <w:tcMar>
              <w:top w:w="0" w:type="dxa"/>
              <w:left w:w="62" w:type="dxa"/>
              <w:bottom w:w="0" w:type="dxa"/>
              <w:right w:w="62" w:type="dxa"/>
            </w:tcMar>
          </w:tcPr>
          <w:p w:rsidR="00000000" w:rsidP="00DE0AC2">
            <w:pPr>
              <w:pStyle w:val="ListBullet"/>
              <w:rPr>
                <w:lang w:val="en-NZ"/>
              </w:rPr>
            </w:pPr>
            <w:r w:rsidRPr="00DE0AC2">
              <w:t>drafted technical drawings or drawings produced on computer using computer-aided design (CAD) software packages that contain project specifications</w:t>
            </w:r>
          </w:p>
        </w:tc>
      </w:tr>
      <w:tr w:rsidTr="00DE0A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rPr>
                <w:rStyle w:val="SpecialBold"/>
              </w:rPr>
              <w:t>Specifications include:</w:t>
            </w:r>
          </w:p>
        </w:tc>
        <w:tc>
          <w:tcPr>
            <w:tcW w:w="6312" w:type="dxa"/>
            <w:tcBorders>
              <w:top w:val="nil"/>
              <w:left w:val="nil"/>
              <w:bottom w:val="nil"/>
              <w:right w:val="nil"/>
            </w:tcBorders>
            <w:tcMar>
              <w:top w:w="0" w:type="dxa"/>
              <w:left w:w="62" w:type="dxa"/>
              <w:bottom w:w="0" w:type="dxa"/>
              <w:right w:w="62" w:type="dxa"/>
            </w:tcMar>
          </w:tcPr>
          <w:p w:rsidR="00000000" w:rsidRPr="00DE0AC2" w:rsidP="00DE0AC2">
            <w:pPr>
              <w:pStyle w:val="ListBullet"/>
            </w:pPr>
            <w:r w:rsidRPr="00DE0AC2">
              <w:t>measurements</w:t>
            </w:r>
          </w:p>
          <w:p w:rsidR="00000000" w:rsidRPr="00DE0AC2" w:rsidP="00DE0AC2">
            <w:pPr>
              <w:pStyle w:val="ListBullet"/>
            </w:pPr>
            <w:r w:rsidRPr="00DE0AC2">
              <w:t xml:space="preserve">procedures by which a product is constructed </w:t>
            </w:r>
          </w:p>
          <w:p w:rsidR="00000000" w:rsidP="00DE0AC2">
            <w:pPr>
              <w:pStyle w:val="ListBullet"/>
              <w:rPr>
                <w:lang w:val="en-NZ"/>
              </w:rPr>
            </w:pPr>
            <w:r w:rsidRPr="00DE0AC2">
              <w:t>materials to be utilised</w:t>
            </w:r>
          </w:p>
        </w:tc>
      </w:tr>
      <w:tr w:rsidTr="00DE0A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rPr>
                <w:rStyle w:val="SpecialBold"/>
              </w:rPr>
              <w:t>Elements of design include:</w:t>
            </w:r>
          </w:p>
        </w:tc>
        <w:tc>
          <w:tcPr>
            <w:tcW w:w="6312" w:type="dxa"/>
            <w:tcBorders>
              <w:top w:val="nil"/>
              <w:left w:val="nil"/>
              <w:bottom w:val="nil"/>
              <w:right w:val="nil"/>
            </w:tcBorders>
            <w:tcMar>
              <w:top w:w="0" w:type="dxa"/>
              <w:left w:w="62" w:type="dxa"/>
              <w:bottom w:w="0" w:type="dxa"/>
              <w:right w:w="62" w:type="dxa"/>
            </w:tcMar>
          </w:tcPr>
          <w:p w:rsidR="00000000" w:rsidRPr="00DE0AC2" w:rsidP="00DE0AC2">
            <w:pPr>
              <w:pStyle w:val="ListBullet"/>
            </w:pPr>
            <w:r w:rsidRPr="00DE0AC2">
              <w:t>line</w:t>
            </w:r>
          </w:p>
          <w:p w:rsidR="00000000" w:rsidRPr="00DE0AC2" w:rsidP="00DE0AC2">
            <w:pPr>
              <w:pStyle w:val="ListBullet"/>
            </w:pPr>
            <w:r w:rsidRPr="00DE0AC2">
              <w:t>shape</w:t>
            </w:r>
          </w:p>
          <w:p w:rsidR="00000000" w:rsidRPr="00DE0AC2" w:rsidP="00DE0AC2">
            <w:pPr>
              <w:pStyle w:val="ListBullet"/>
            </w:pPr>
            <w:r w:rsidRPr="00DE0AC2">
              <w:t xml:space="preserve">form (geometric or organic) </w:t>
            </w:r>
          </w:p>
          <w:p w:rsidR="00000000" w:rsidRPr="00DE0AC2" w:rsidP="00DE0AC2">
            <w:pPr>
              <w:pStyle w:val="ListBullet"/>
            </w:pPr>
            <w:r w:rsidRPr="00DE0AC2">
              <w:t>texture</w:t>
            </w:r>
          </w:p>
          <w:p w:rsidR="00000000" w:rsidRPr="00DE0AC2" w:rsidP="00DE0AC2">
            <w:pPr>
              <w:pStyle w:val="ListBullet"/>
            </w:pPr>
            <w:r w:rsidRPr="00DE0AC2">
              <w:t xml:space="preserve">colour </w:t>
            </w:r>
          </w:p>
          <w:p w:rsidR="00000000" w:rsidP="00DE0AC2">
            <w:pPr>
              <w:pStyle w:val="ListBullet"/>
              <w:rPr>
                <w:lang w:val="en-NZ"/>
              </w:rPr>
            </w:pPr>
            <w:r w:rsidRPr="00DE0AC2">
              <w:t>function</w:t>
            </w:r>
          </w:p>
        </w:tc>
      </w:tr>
      <w:tr w:rsidTr="00DE0A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rPr>
                <w:rStyle w:val="SpecialBold"/>
              </w:rPr>
              <w:t>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DE0AC2" w:rsidP="00DE0AC2">
            <w:pPr>
              <w:pStyle w:val="ListBullet"/>
            </w:pPr>
            <w:r w:rsidRPr="00DE0AC2">
              <w:t xml:space="preserve">balance </w:t>
            </w:r>
          </w:p>
          <w:p w:rsidR="00000000" w:rsidRPr="00DE0AC2" w:rsidP="00DE0AC2">
            <w:pPr>
              <w:pStyle w:val="ListBullet"/>
            </w:pPr>
            <w:r w:rsidRPr="00DE0AC2">
              <w:t xml:space="preserve">proportion (symmetry and asymmetry) </w:t>
            </w:r>
          </w:p>
          <w:p w:rsidR="00000000" w:rsidRPr="00DE0AC2" w:rsidP="00DE0AC2">
            <w:pPr>
              <w:pStyle w:val="ListBullet"/>
            </w:pPr>
            <w:r w:rsidRPr="00DE0AC2">
              <w:t>harmony</w:t>
            </w:r>
          </w:p>
          <w:p w:rsidR="00000000" w:rsidRPr="00DE0AC2" w:rsidP="00DE0AC2">
            <w:pPr>
              <w:pStyle w:val="ListBullet"/>
            </w:pPr>
            <w:r w:rsidRPr="00DE0AC2">
              <w:t>contrast</w:t>
            </w:r>
          </w:p>
          <w:p w:rsidR="00000000" w:rsidRPr="00DE0AC2" w:rsidP="00DE0AC2">
            <w:pPr>
              <w:pStyle w:val="ListBullet"/>
            </w:pPr>
            <w:r w:rsidRPr="00DE0AC2">
              <w:t>pattern</w:t>
            </w:r>
          </w:p>
          <w:p w:rsidR="00000000" w:rsidRPr="00DE0AC2" w:rsidP="00DE0AC2">
            <w:pPr>
              <w:pStyle w:val="ListBullet"/>
            </w:pPr>
            <w:r w:rsidRPr="00DE0AC2">
              <w:t>movement</w:t>
            </w:r>
          </w:p>
          <w:p w:rsidR="00000000" w:rsidRPr="00DE0AC2" w:rsidP="00DE0AC2">
            <w:pPr>
              <w:pStyle w:val="ListBullet"/>
            </w:pPr>
            <w:r w:rsidRPr="00DE0AC2">
              <w:t>rhythm</w:t>
            </w:r>
          </w:p>
          <w:p w:rsidR="00000000" w:rsidRPr="00DE0AC2" w:rsidP="00DE0AC2">
            <w:pPr>
              <w:pStyle w:val="ListBullet"/>
            </w:pPr>
            <w:r w:rsidRPr="00DE0AC2">
              <w:t>unity</w:t>
            </w:r>
          </w:p>
          <w:p w:rsidR="00000000" w:rsidRPr="00DE0AC2" w:rsidP="00DE0AC2">
            <w:pPr>
              <w:pStyle w:val="ListBullet"/>
            </w:pPr>
            <w:r w:rsidRPr="00DE0AC2">
              <w:t>style</w:t>
            </w:r>
          </w:p>
          <w:p w:rsidR="00000000" w:rsidRPr="00DE0AC2" w:rsidP="00DE0AC2">
            <w:pPr>
              <w:pStyle w:val="ListBullet"/>
            </w:pPr>
            <w:r w:rsidRPr="00DE0AC2">
              <w:t>focus</w:t>
            </w:r>
          </w:p>
          <w:p w:rsidR="00000000" w:rsidRPr="00DE0AC2" w:rsidP="00DE0AC2">
            <w:pPr>
              <w:pStyle w:val="ListBullet"/>
            </w:pPr>
            <w:r w:rsidRPr="00DE0AC2">
              <w:t>scale</w:t>
            </w:r>
          </w:p>
          <w:p w:rsidR="00000000" w:rsidRPr="00DE0AC2" w:rsidP="00DE0AC2">
            <w:pPr>
              <w:pStyle w:val="ListBullet"/>
            </w:pPr>
            <w:r w:rsidRPr="00DE0AC2">
              <w:t>dominant</w:t>
            </w:r>
          </w:p>
          <w:p w:rsidR="00000000" w:rsidRPr="00DE0AC2" w:rsidP="00DE0AC2">
            <w:pPr>
              <w:pStyle w:val="ListBullet"/>
            </w:pPr>
            <w:r w:rsidRPr="00DE0AC2">
              <w:t xml:space="preserve">sub-dominant </w:t>
            </w:r>
          </w:p>
          <w:p w:rsidR="00000000" w:rsidRPr="00DE0AC2" w:rsidP="00DE0AC2">
            <w:pPr>
              <w:pStyle w:val="ListBullet"/>
            </w:pPr>
            <w:r w:rsidRPr="00DE0AC2">
              <w:t>subordinate relationship</w:t>
            </w:r>
          </w:p>
          <w:p w:rsidR="00000000" w:rsidRPr="00DE0AC2" w:rsidP="00DE0AC2">
            <w:pPr>
              <w:pStyle w:val="ListBullet"/>
            </w:pPr>
            <w:r w:rsidRPr="00DE0AC2">
              <w:t>emphasis</w:t>
            </w:r>
          </w:p>
          <w:p w:rsidR="00000000" w:rsidRPr="00DE0AC2" w:rsidP="00DE0AC2">
            <w:pPr>
              <w:pStyle w:val="ListBullet"/>
            </w:pPr>
            <w:r w:rsidRPr="00DE0AC2">
              <w:t>proximity</w:t>
            </w:r>
          </w:p>
          <w:p w:rsidR="00000000" w:rsidRPr="00DE0AC2" w:rsidP="00DE0AC2">
            <w:pPr>
              <w:pStyle w:val="ListBullet"/>
            </w:pPr>
            <w:r w:rsidRPr="00DE0AC2">
              <w:t>alignment</w:t>
            </w:r>
          </w:p>
          <w:p w:rsidR="00000000" w:rsidRPr="00DE0AC2" w:rsidP="00DE0AC2">
            <w:pPr>
              <w:pStyle w:val="ListBullet"/>
            </w:pPr>
            <w:r w:rsidRPr="00DE0AC2">
              <w:t>space</w:t>
            </w:r>
          </w:p>
          <w:p w:rsidR="00000000" w:rsidRPr="00DE0AC2" w:rsidP="00DE0AC2">
            <w:pPr>
              <w:pStyle w:val="ListBullet"/>
            </w:pPr>
            <w:r w:rsidRPr="00DE0AC2">
              <w:t>anthropometry</w:t>
            </w:r>
          </w:p>
          <w:p w:rsidR="00000000" w:rsidRPr="00DE0AC2" w:rsidP="00DE0AC2">
            <w:pPr>
              <w:pStyle w:val="ListBullet"/>
            </w:pPr>
            <w:r w:rsidRPr="00DE0AC2">
              <w:t>ergonomics</w:t>
            </w:r>
          </w:p>
          <w:p w:rsidR="00000000" w:rsidRPr="00DE0AC2" w:rsidP="00DE0AC2">
            <w:pPr>
              <w:pStyle w:val="ListBullet"/>
            </w:pPr>
            <w:r w:rsidRPr="00DE0AC2">
              <w:t xml:space="preserve">arrangement </w:t>
            </w:r>
          </w:p>
          <w:p w:rsidR="00000000" w:rsidRPr="00DE0AC2" w:rsidP="00DE0AC2">
            <w:pPr>
              <w:pStyle w:val="ListBullet"/>
            </w:pPr>
            <w:r w:rsidRPr="00DE0AC2">
              <w:t xml:space="preserve">workload materials handling capacity </w:t>
            </w:r>
          </w:p>
          <w:p w:rsidR="00000000" w:rsidRPr="00DE0AC2" w:rsidP="00DE0AC2">
            <w:pPr>
              <w:pStyle w:val="ListBullet"/>
            </w:pPr>
            <w:r w:rsidRPr="00DE0AC2">
              <w:t xml:space="preserve">skills available </w:t>
            </w:r>
          </w:p>
          <w:p w:rsidR="00000000" w:rsidRPr="00DE0AC2" w:rsidP="00DE0AC2">
            <w:pPr>
              <w:pStyle w:val="ListBullet"/>
            </w:pPr>
            <w:r w:rsidRPr="00DE0AC2">
              <w:t>equipment capabilities</w:t>
            </w:r>
          </w:p>
          <w:p w:rsidR="00000000" w:rsidRPr="00DE0AC2" w:rsidP="00DE0AC2">
            <w:pPr>
              <w:pStyle w:val="ListBullet"/>
            </w:pPr>
            <w:r w:rsidRPr="00DE0AC2">
              <w:t>aesthetic relations</w:t>
            </w:r>
          </w:p>
          <w:p w:rsidR="00000000" w:rsidRPr="00DE0AC2" w:rsidP="00DE0AC2">
            <w:pPr>
              <w:pStyle w:val="ListBullet"/>
            </w:pPr>
            <w:r w:rsidRPr="00DE0AC2">
              <w:t xml:space="preserve">tension </w:t>
            </w:r>
          </w:p>
          <w:p w:rsidR="00000000" w:rsidP="00DE0AC2">
            <w:pPr>
              <w:pStyle w:val="ListBullet"/>
              <w:rPr>
                <w:lang w:val="en-NZ"/>
              </w:rPr>
            </w:pPr>
            <w:r w:rsidRPr="00DE0AC2">
              <w:t>development methods</w:t>
            </w:r>
          </w:p>
        </w:tc>
      </w:tr>
      <w:tr w:rsidTr="00DE0A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rPr>
                <w:rStyle w:val="SpecialBold"/>
              </w:rPr>
              <w:t>Computer-based strategies include:</w:t>
            </w:r>
          </w:p>
        </w:tc>
        <w:tc>
          <w:tcPr>
            <w:tcW w:w="6312" w:type="dxa"/>
            <w:tcBorders>
              <w:top w:val="nil"/>
              <w:left w:val="nil"/>
              <w:bottom w:val="nil"/>
              <w:right w:val="nil"/>
            </w:tcBorders>
            <w:tcMar>
              <w:top w:w="0" w:type="dxa"/>
              <w:left w:w="62" w:type="dxa"/>
              <w:bottom w:w="0" w:type="dxa"/>
              <w:right w:w="62" w:type="dxa"/>
            </w:tcMar>
          </w:tcPr>
          <w:p w:rsidR="00000000" w:rsidRPr="00DE0AC2" w:rsidP="00DE0AC2">
            <w:pPr>
              <w:pStyle w:val="ListBullet"/>
            </w:pPr>
            <w:r w:rsidRPr="00DE0AC2">
              <w:t xml:space="preserve">PowerPoint presentations </w:t>
            </w:r>
          </w:p>
          <w:p w:rsidR="00000000" w:rsidRPr="00DE0AC2" w:rsidP="00DE0AC2">
            <w:pPr>
              <w:pStyle w:val="ListBullet"/>
            </w:pPr>
            <w:r w:rsidRPr="00DE0AC2">
              <w:t xml:space="preserve">CAD demonstrations </w:t>
            </w:r>
          </w:p>
          <w:p w:rsidR="00000000" w:rsidRPr="00DE0AC2" w:rsidP="00DE0AC2">
            <w:pPr>
              <w:pStyle w:val="ListBullet"/>
            </w:pPr>
            <w:r w:rsidRPr="00DE0AC2">
              <w:t xml:space="preserve">written presentations </w:t>
            </w:r>
          </w:p>
          <w:p w:rsidR="00000000" w:rsidP="00DE0AC2">
            <w:pPr>
              <w:pStyle w:val="ListBullet"/>
              <w:rPr>
                <w:lang w:val="en-NZ"/>
              </w:rPr>
            </w:pPr>
            <w:r w:rsidRPr="00DE0AC2">
              <w:t>other scenarios utilising different software applications</w:t>
            </w:r>
          </w:p>
        </w:tc>
      </w:tr>
      <w:tr w:rsidTr="00DE0AC2">
        <w:tblPrEx>
          <w:tblW w:w="0" w:type="auto"/>
          <w:tblLayout w:type="fixed"/>
          <w:tblCellMar>
            <w:left w:w="62" w:type="dxa"/>
            <w:right w:w="62" w:type="dxa"/>
          </w:tblCellMar>
          <w:tblLook w:val="0000"/>
        </w:tblPrEx>
        <w:trPr>
          <w:trHeight w:val="832"/>
        </w:trPr>
        <w:tc>
          <w:tcPr>
            <w:tcW w:w="276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rPr>
                <w:rStyle w:val="SpecialBold"/>
              </w:rPr>
              <w:t>Maquette includes:</w:t>
            </w:r>
          </w:p>
        </w:tc>
        <w:tc>
          <w:tcPr>
            <w:tcW w:w="6312" w:type="dxa"/>
            <w:tcBorders>
              <w:top w:val="nil"/>
              <w:left w:val="nil"/>
              <w:bottom w:val="nil"/>
              <w:right w:val="nil"/>
            </w:tcBorders>
            <w:tcMar>
              <w:top w:w="0" w:type="dxa"/>
              <w:left w:w="62" w:type="dxa"/>
              <w:bottom w:w="0" w:type="dxa"/>
              <w:right w:w="62" w:type="dxa"/>
            </w:tcMar>
          </w:tcPr>
          <w:p w:rsidR="00000000" w:rsidP="00DE0AC2">
            <w:pPr>
              <w:pStyle w:val="ListBullet"/>
              <w:rPr>
                <w:lang w:val="en-NZ"/>
              </w:rPr>
            </w:pPr>
            <w:r w:rsidRPr="00DE0AC2">
              <w:t xml:space="preserve">a miniature version of the intended final product to establish if the elements and principles of design have been achieved </w:t>
            </w:r>
          </w:p>
        </w:tc>
      </w:tr>
      <w:tr w:rsidTr="00DE0A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rPr>
                <w:rStyle w:val="SpecialBold"/>
              </w:rPr>
              <w:t>Prototypes or samples include:</w:t>
            </w:r>
          </w:p>
        </w:tc>
        <w:tc>
          <w:tcPr>
            <w:tcW w:w="6312" w:type="dxa"/>
            <w:tcBorders>
              <w:top w:val="nil"/>
              <w:left w:val="nil"/>
              <w:bottom w:val="nil"/>
              <w:right w:val="nil"/>
            </w:tcBorders>
            <w:tcMar>
              <w:top w:w="0" w:type="dxa"/>
              <w:left w:w="62" w:type="dxa"/>
              <w:bottom w:w="0" w:type="dxa"/>
              <w:right w:w="62" w:type="dxa"/>
            </w:tcMar>
          </w:tcPr>
          <w:p w:rsidR="00000000" w:rsidP="00DE0AC2">
            <w:pPr>
              <w:pStyle w:val="ListBullet"/>
              <w:rPr>
                <w:lang w:val="en-NZ"/>
              </w:rPr>
            </w:pPr>
            <w:r w:rsidRPr="00DE0AC2">
              <w:t>a full size replica of the intended product outcome based on concept sketches and freehand development drawings, produced from stiff cardboard, scrap timber or moulding clay</w:t>
            </w:r>
          </w:p>
        </w:tc>
      </w:tr>
      <w:tr w:rsidTr="00DE0A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rPr>
                <w:rStyle w:val="SpecialBold"/>
              </w:rPr>
              <w:t>Manufacturing processes include:</w:t>
            </w:r>
          </w:p>
        </w:tc>
        <w:tc>
          <w:tcPr>
            <w:tcW w:w="6312" w:type="dxa"/>
            <w:tcBorders>
              <w:top w:val="nil"/>
              <w:left w:val="nil"/>
              <w:bottom w:val="nil"/>
              <w:right w:val="nil"/>
            </w:tcBorders>
            <w:tcMar>
              <w:top w:w="0" w:type="dxa"/>
              <w:left w:w="62" w:type="dxa"/>
              <w:bottom w:w="0" w:type="dxa"/>
              <w:right w:w="62" w:type="dxa"/>
            </w:tcMar>
          </w:tcPr>
          <w:p w:rsidR="00000000" w:rsidP="00DE0AC2">
            <w:pPr>
              <w:pStyle w:val="ListBullet"/>
              <w:rPr>
                <w:lang w:val="en-NZ"/>
              </w:rPr>
            </w:pPr>
            <w:r w:rsidRPr="00DE0AC2">
              <w:t>methods by which the product will be produced w</w:t>
            </w:r>
            <w:r w:rsidRPr="00DE0AC2">
              <w:t xml:space="preserve">ith steps that </w:t>
            </w:r>
            <w:r w:rsidRPr="00DE0AC2">
              <w:t>entail working from drawings and specifications, producing components utilising machine operations, assembly of the components and finishing techniques</w:t>
            </w:r>
          </w:p>
        </w:tc>
      </w:tr>
      <w:tr w:rsidTr="00DE0A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DE0AC2" w:rsidP="00DE0AC2">
            <w:pPr>
              <w:pStyle w:val="ListBullet"/>
            </w:pPr>
            <w:r w:rsidRPr="00DE0AC2">
              <w:t xml:space="preserve">timber (native and imported) </w:t>
            </w:r>
          </w:p>
          <w:p w:rsidR="00000000" w:rsidRPr="00DE0AC2" w:rsidP="00DE0AC2">
            <w:pPr>
              <w:pStyle w:val="ListBullet"/>
            </w:pPr>
            <w:r w:rsidRPr="00DE0AC2">
              <w:t xml:space="preserve">man-made timber products </w:t>
            </w:r>
          </w:p>
          <w:p w:rsidR="00000000" w:rsidRPr="00DE0AC2" w:rsidP="00DE0AC2">
            <w:pPr>
              <w:pStyle w:val="ListBullet"/>
            </w:pPr>
            <w:r w:rsidRPr="00DE0AC2">
              <w:t xml:space="preserve">plastic </w:t>
            </w:r>
          </w:p>
          <w:p w:rsidR="00000000" w:rsidRPr="00DE0AC2" w:rsidP="00DE0AC2">
            <w:pPr>
              <w:pStyle w:val="ListBullet"/>
            </w:pPr>
            <w:r w:rsidRPr="00DE0AC2">
              <w:t xml:space="preserve">metal </w:t>
            </w:r>
          </w:p>
          <w:p w:rsidR="00000000" w:rsidRPr="00DE0AC2" w:rsidP="00DE0AC2">
            <w:pPr>
              <w:pStyle w:val="ListBullet"/>
            </w:pPr>
            <w:r w:rsidRPr="00DE0AC2">
              <w:t>alloys</w:t>
            </w:r>
          </w:p>
          <w:p w:rsidR="00000000" w:rsidRPr="00DE0AC2" w:rsidP="00DE0AC2">
            <w:pPr>
              <w:pStyle w:val="ListBullet"/>
            </w:pPr>
            <w:r w:rsidRPr="00DE0AC2">
              <w:t>stones</w:t>
            </w:r>
          </w:p>
          <w:p w:rsidR="00000000" w:rsidRPr="00DE0AC2" w:rsidP="00DE0AC2">
            <w:pPr>
              <w:pStyle w:val="ListBullet"/>
            </w:pPr>
            <w:r w:rsidRPr="00DE0AC2">
              <w:t xml:space="preserve">glass </w:t>
            </w:r>
          </w:p>
          <w:p w:rsidR="00000000" w:rsidRPr="00DE0AC2" w:rsidP="00DE0AC2">
            <w:pPr>
              <w:pStyle w:val="ListBullet"/>
            </w:pPr>
            <w:r w:rsidRPr="00DE0AC2">
              <w:t>textiles</w:t>
            </w:r>
          </w:p>
          <w:p w:rsidR="00000000" w:rsidRPr="00DE0AC2" w:rsidP="00DE0AC2">
            <w:pPr>
              <w:pStyle w:val="ListBullet"/>
            </w:pPr>
            <w:r w:rsidRPr="00DE0AC2">
              <w:t xml:space="preserve">fibreglass </w:t>
            </w:r>
          </w:p>
          <w:p w:rsidR="00000000" w:rsidRPr="00DE0AC2" w:rsidP="00DE0AC2">
            <w:pPr>
              <w:pStyle w:val="ListBullet"/>
            </w:pPr>
            <w:r w:rsidRPr="00DE0AC2">
              <w:t>foam</w:t>
            </w:r>
          </w:p>
          <w:p w:rsidR="00000000" w:rsidRPr="00DE0AC2" w:rsidP="00DE0AC2">
            <w:pPr>
              <w:pStyle w:val="ListBullet"/>
            </w:pPr>
            <w:r w:rsidRPr="00DE0AC2">
              <w:t>cardboard</w:t>
            </w:r>
          </w:p>
          <w:p w:rsidR="00000000" w:rsidRPr="00DE0AC2" w:rsidP="00DE0AC2">
            <w:pPr>
              <w:pStyle w:val="ListBullet"/>
            </w:pPr>
            <w:r w:rsidRPr="00DE0AC2">
              <w:t xml:space="preserve">paper products </w:t>
            </w:r>
          </w:p>
          <w:p w:rsidR="00000000" w:rsidP="00DE0AC2">
            <w:pPr>
              <w:pStyle w:val="ListBullet"/>
              <w:rPr>
                <w:lang w:val="en-NZ"/>
              </w:rPr>
            </w:pPr>
            <w:r w:rsidRPr="00DE0AC2">
              <w:t>any other manipulable substance</w:t>
            </w:r>
          </w:p>
        </w:tc>
      </w:tr>
      <w:tr w:rsidTr="00DE0A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rPr>
                <w:rStyle w:val="SpecialBold"/>
              </w:rPr>
              <w:t>Assembly processes include:</w:t>
            </w:r>
          </w:p>
        </w:tc>
        <w:tc>
          <w:tcPr>
            <w:tcW w:w="6312" w:type="dxa"/>
            <w:tcBorders>
              <w:top w:val="nil"/>
              <w:left w:val="nil"/>
              <w:bottom w:val="nil"/>
              <w:right w:val="nil"/>
            </w:tcBorders>
            <w:tcMar>
              <w:top w:w="0" w:type="dxa"/>
              <w:left w:w="62" w:type="dxa"/>
              <w:bottom w:w="0" w:type="dxa"/>
              <w:right w:w="62" w:type="dxa"/>
            </w:tcMar>
          </w:tcPr>
          <w:p w:rsidR="00000000" w:rsidRPr="00DE0AC2" w:rsidP="00DE0AC2">
            <w:pPr>
              <w:pStyle w:val="ListBullet"/>
            </w:pPr>
            <w:r w:rsidRPr="00DE0AC2">
              <w:t>nailing</w:t>
            </w:r>
          </w:p>
          <w:p w:rsidR="00000000" w:rsidRPr="00DE0AC2" w:rsidP="00DE0AC2">
            <w:pPr>
              <w:pStyle w:val="ListBullet"/>
            </w:pPr>
            <w:r w:rsidRPr="00DE0AC2">
              <w:t>gluing</w:t>
            </w:r>
          </w:p>
          <w:p w:rsidR="00000000" w:rsidRPr="00DE0AC2" w:rsidP="00DE0AC2">
            <w:pPr>
              <w:pStyle w:val="ListBullet"/>
            </w:pPr>
            <w:r w:rsidRPr="00DE0AC2">
              <w:t>screwing</w:t>
            </w:r>
          </w:p>
          <w:p w:rsidR="00000000" w:rsidRPr="00DE0AC2" w:rsidP="00DE0AC2">
            <w:pPr>
              <w:pStyle w:val="ListBullet"/>
            </w:pPr>
            <w:r w:rsidRPr="00DE0AC2">
              <w:t>welding</w:t>
            </w:r>
          </w:p>
          <w:p w:rsidR="00000000" w:rsidRPr="00DE0AC2" w:rsidP="00DE0AC2">
            <w:pPr>
              <w:pStyle w:val="ListBullet"/>
            </w:pPr>
            <w:r w:rsidRPr="00DE0AC2">
              <w:t>pressing</w:t>
            </w:r>
          </w:p>
          <w:p w:rsidR="00000000" w:rsidRPr="00DE0AC2" w:rsidP="00DE0AC2">
            <w:pPr>
              <w:pStyle w:val="ListBullet"/>
            </w:pPr>
            <w:r w:rsidRPr="00DE0AC2">
              <w:t>sewing</w:t>
            </w:r>
          </w:p>
          <w:p w:rsidR="00000000" w:rsidRPr="00DE0AC2" w:rsidP="00DE0AC2">
            <w:pPr>
              <w:pStyle w:val="ListBullet"/>
            </w:pPr>
            <w:r w:rsidRPr="00DE0AC2">
              <w:t>bonding</w:t>
            </w:r>
          </w:p>
          <w:p w:rsidR="00000000" w:rsidRPr="00DE0AC2" w:rsidP="00DE0AC2">
            <w:pPr>
              <w:pStyle w:val="ListBullet"/>
            </w:pPr>
            <w:r w:rsidRPr="00DE0AC2">
              <w:t xml:space="preserve">jointing </w:t>
            </w:r>
          </w:p>
          <w:p w:rsidR="00000000" w:rsidP="00DE0AC2">
            <w:pPr>
              <w:pStyle w:val="ListBullet"/>
              <w:rPr>
                <w:lang w:val="en-NZ"/>
              </w:rPr>
            </w:pPr>
            <w:r w:rsidRPr="00DE0AC2">
              <w:t>connecting various materials</w:t>
            </w:r>
          </w:p>
        </w:tc>
      </w:tr>
      <w:tr w:rsidTr="00DE0A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rPr>
                <w:rStyle w:val="SpecialBold"/>
              </w:rPr>
              <w:t>Finishing includes:</w:t>
            </w:r>
          </w:p>
        </w:tc>
        <w:tc>
          <w:tcPr>
            <w:tcW w:w="6312" w:type="dxa"/>
            <w:tcBorders>
              <w:top w:val="nil"/>
              <w:left w:val="nil"/>
              <w:bottom w:val="nil"/>
              <w:right w:val="nil"/>
            </w:tcBorders>
            <w:tcMar>
              <w:top w:w="0" w:type="dxa"/>
              <w:left w:w="62" w:type="dxa"/>
              <w:bottom w:w="0" w:type="dxa"/>
              <w:right w:w="62" w:type="dxa"/>
            </w:tcMar>
          </w:tcPr>
          <w:p w:rsidR="00000000" w:rsidRPr="00DE0AC2" w:rsidP="00DE0AC2">
            <w:pPr>
              <w:pStyle w:val="ListBullet"/>
            </w:pPr>
            <w:r w:rsidRPr="00DE0AC2">
              <w:t xml:space="preserve">paints </w:t>
            </w:r>
          </w:p>
          <w:p w:rsidR="00000000" w:rsidRPr="00DE0AC2" w:rsidP="00DE0AC2">
            <w:pPr>
              <w:pStyle w:val="ListBullet"/>
            </w:pPr>
            <w:r w:rsidRPr="00DE0AC2">
              <w:t>waxes</w:t>
            </w:r>
          </w:p>
          <w:p w:rsidR="00000000" w:rsidRPr="00DE0AC2" w:rsidP="00DE0AC2">
            <w:pPr>
              <w:pStyle w:val="ListBullet"/>
            </w:pPr>
            <w:r w:rsidRPr="00DE0AC2">
              <w:t>lacquers</w:t>
            </w:r>
          </w:p>
          <w:p w:rsidR="00000000" w:rsidRPr="00DE0AC2" w:rsidP="00DE0AC2">
            <w:pPr>
              <w:pStyle w:val="ListBullet"/>
            </w:pPr>
            <w:r w:rsidRPr="00DE0AC2">
              <w:t xml:space="preserve">stains </w:t>
            </w:r>
          </w:p>
          <w:p w:rsidR="00000000" w:rsidRPr="00DE0AC2" w:rsidP="00DE0AC2">
            <w:pPr>
              <w:pStyle w:val="ListBullet"/>
            </w:pPr>
            <w:r w:rsidRPr="00DE0AC2">
              <w:t>pigments</w:t>
            </w:r>
          </w:p>
          <w:p w:rsidR="00000000" w:rsidRPr="00DE0AC2" w:rsidP="00DE0AC2">
            <w:pPr>
              <w:pStyle w:val="ListBullet"/>
            </w:pPr>
            <w:r w:rsidRPr="00DE0AC2">
              <w:t xml:space="preserve">oils </w:t>
            </w:r>
          </w:p>
          <w:p w:rsidR="00000000" w:rsidP="00DE0AC2">
            <w:pPr>
              <w:pStyle w:val="ListBullet"/>
              <w:rPr>
                <w:lang w:val="en-NZ"/>
              </w:rPr>
            </w:pPr>
            <w:r w:rsidRPr="00DE0AC2">
              <w:t>plastic coatings</w:t>
            </w:r>
          </w:p>
        </w:tc>
      </w:tr>
      <w:tr w:rsidTr="00DE0A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E0AC2" w:rsidP="00DE0AC2">
            <w:pPr>
              <w:pStyle w:val="BodyText"/>
            </w:pPr>
            <w:r w:rsidRPr="00DE0AC2">
              <w:rPr>
                <w:rStyle w:val="SpecialBold"/>
              </w:rPr>
              <w:t>Personal protective equipment includes:</w:t>
            </w:r>
          </w:p>
          <w:p w:rsidR="00000000" w:rsidP="00DE0AC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DE0AC2">
            <w:pPr>
              <w:pStyle w:val="ListBullet"/>
              <w:rPr>
                <w:lang w:val="en-NZ"/>
              </w:rPr>
            </w:pPr>
            <w:r w:rsidRPr="00DE0AC2">
              <w:t xml:space="preserve">that prescribed under legislation, regulations and enterprise policies and practices </w:t>
            </w:r>
          </w:p>
        </w:tc>
      </w:tr>
      <w:tr w:rsidTr="00DE0A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0AC2">
            <w:pPr>
              <w:pStyle w:val="BodyText"/>
              <w:rPr>
                <w:lang w:val="en-NZ"/>
              </w:rPr>
            </w:pPr>
            <w:r w:rsidRPr="00DE0AC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E0AC2" w:rsidP="00DE0AC2">
            <w:pPr>
              <w:pStyle w:val="ListBullet"/>
            </w:pPr>
            <w:r w:rsidRPr="00DE0AC2">
              <w:t xml:space="preserve">work procedures/instructions </w:t>
            </w:r>
          </w:p>
          <w:p w:rsidR="00000000" w:rsidRPr="00DE0AC2" w:rsidP="00DE0AC2">
            <w:pPr>
              <w:pStyle w:val="ListBullet"/>
            </w:pPr>
            <w:r w:rsidRPr="00DE0AC2">
              <w:t xml:space="preserve">manufacturer specifications and instructions </w:t>
            </w:r>
          </w:p>
          <w:p w:rsidR="00000000" w:rsidRPr="00DE0AC2" w:rsidP="00DE0AC2">
            <w:pPr>
              <w:pStyle w:val="ListBullet"/>
            </w:pPr>
            <w:r w:rsidRPr="00DE0AC2">
              <w:t>standard forms of workplace process and procedures</w:t>
            </w:r>
          </w:p>
          <w:p w:rsidR="00000000" w:rsidRPr="00DE0AC2" w:rsidP="00DE0AC2">
            <w:pPr>
              <w:pStyle w:val="ListBullet"/>
            </w:pPr>
            <w:r w:rsidRPr="00DE0AC2">
              <w:t xml:space="preserve">organisation work specifications and requirements </w:t>
            </w:r>
          </w:p>
          <w:p w:rsidR="00000000" w:rsidRPr="00DE0AC2" w:rsidP="00DE0AC2">
            <w:pPr>
              <w:pStyle w:val="ListBullet"/>
            </w:pPr>
            <w:r w:rsidRPr="00DE0AC2">
              <w:t xml:space="preserve">legislation, regulations and codes of practice </w:t>
            </w:r>
          </w:p>
          <w:p w:rsidR="00000000" w:rsidRPr="00DE0AC2" w:rsidP="00DE0AC2">
            <w:pPr>
              <w:pStyle w:val="ListBullet"/>
            </w:pPr>
            <w:r w:rsidRPr="00DE0AC2">
              <w:t>quality and Australian Standards and procedures</w:t>
            </w:r>
          </w:p>
        </w:tc>
      </w:tr>
    </w:tbl>
    <w:p w:rsidR="00000000" w:rsidRPr="00DE0AC2" w:rsidP="00DE0AC2">
      <w:pPr>
        <w:pStyle w:val="BodyText"/>
      </w:pPr>
    </w:p>
    <w:p w:rsidR="00000000" w:rsidRPr="00DE0AC2" w:rsidP="00DE0AC2">
      <w:pPr>
        <w:pStyle w:val="AllowPageBreak"/>
      </w:pPr>
    </w:p>
    <w:p w:rsidR="00000000" w:rsidRPr="00DE0AC2" w:rsidP="00DE0AC2">
      <w:pPr>
        <w:pStyle w:val="Heading1"/>
      </w:pPr>
      <w:bookmarkStart w:id="9" w:name="O_631553"/>
      <w:bookmarkEnd w:id="9"/>
      <w:r w:rsidRPr="00DE0AC2">
        <w:t>Unit Mapping Information</w:t>
      </w:r>
    </w:p>
    <w:p w:rsidR="00000000" w:rsidRPr="00DE0AC2" w:rsidP="00DB542D">
      <w:pPr>
        <w:pStyle w:val="BodyText"/>
      </w:pPr>
      <w:r w:rsidRPr="00DE0AC2">
        <w:t>Supersedes and is equivalent to LMFFDT4009A Prepare and present furniture design information</w:t>
      </w:r>
    </w:p>
    <w:p w:rsidR="00000000" w:rsidRPr="00DE0AC2" w:rsidP="00DE0AC2">
      <w:pPr>
        <w:pStyle w:val="Heading1"/>
      </w:pPr>
      <w:bookmarkStart w:id="10" w:name="O_631546"/>
      <w:bookmarkEnd w:id="10"/>
      <w:r w:rsidRPr="00DE0AC2">
        <w:t>Links</w:t>
      </w:r>
    </w:p>
    <w:p w:rsidR="00000000" w:rsidRPr="00DE0AC2" w:rsidP="00DB542D">
      <w:pPr>
        <w:pStyle w:val="BodyText"/>
      </w:pPr>
      <w:r w:rsidRPr="00DE0AC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F6EF2">
        <w:rPr>
          <w:rStyle w:val="Hyperlink"/>
        </w:rPr>
        <w:t>https://vetnet.gov.au/Pages/TrainingDocs.aspx?q=0601ab95-583a-4e93-b2d4-cfb27b03ed73</w:t>
      </w:r>
      <w:r>
        <w:fldChar w:fldCharType="end"/>
      </w:r>
    </w:p>
    <w:p w:rsidR="00000000" w:rsidRPr="00DE0AC2" w:rsidP="00DB542D">
      <w:pPr>
        <w:pStyle w:val="BodyText"/>
        <w:sectPr w:rsidSect="00DE0AC2">
          <w:headerReference w:type="default" r:id="rId10"/>
          <w:footerReference w:type="default" r:id="rId11"/>
          <w:pgSz w:w="11908" w:h="16833"/>
          <w:pgMar w:top="1702" w:right="1418" w:bottom="1702" w:left="1418" w:header="992" w:footer="992" w:gutter="0"/>
          <w:cols w:space="720"/>
          <w:noEndnote/>
          <w:docGrid w:linePitch="299"/>
        </w:sectPr>
      </w:pPr>
    </w:p>
    <w:p w:rsidR="00000000" w:rsidRPr="00DE0AC2" w:rsidP="00DE0AC2">
      <w:pPr>
        <w:pStyle w:val="SuperHeading"/>
      </w:pPr>
      <w:r w:rsidRPr="00DE0AC2">
        <w:t>Assessment Requirements for MSFFDT4007 Prepare and presen</w:t>
      </w:r>
      <w:r w:rsidRPr="00DE0AC2">
        <w:t>t furniture design information</w:t>
      </w:r>
    </w:p>
    <w:p w:rsidR="00000000" w:rsidRPr="00DE0AC2" w:rsidP="00DE0AC2">
      <w:pPr>
        <w:pStyle w:val="Heading1"/>
      </w:pPr>
      <w:bookmarkStart w:id="11" w:name="O_631548"/>
      <w:bookmarkEnd w:id="11"/>
      <w:r w:rsidRPr="00DE0AC2">
        <w:t>Modification History</w:t>
      </w:r>
    </w:p>
    <w:p w:rsidR="00000000" w:rsidRPr="00DE0AC2" w:rsidP="00DB542D">
      <w:pPr>
        <w:pStyle w:val="BodyText"/>
      </w:pPr>
      <w:r w:rsidRPr="00DE0AC2">
        <w:t>Release 1 - New unit of competency</w:t>
      </w:r>
    </w:p>
    <w:p w:rsidR="00000000" w:rsidRPr="00DE0AC2" w:rsidP="00DE0AC2">
      <w:pPr>
        <w:pStyle w:val="Heading1"/>
      </w:pPr>
      <w:bookmarkStart w:id="12" w:name="O_631551"/>
      <w:bookmarkEnd w:id="12"/>
      <w:r w:rsidRPr="00DE0AC2">
        <w:t>Performance Evidence</w:t>
      </w:r>
    </w:p>
    <w:p w:rsidR="00000000" w:rsidRPr="00DE0AC2" w:rsidP="00DE0AC2">
      <w:pPr>
        <w:pStyle w:val="ListBullet"/>
      </w:pPr>
      <w:r w:rsidRPr="00DE0AC2">
        <w:t>Collect, organise and understand information related to furnishing work instructions and work orders and safety pr</w:t>
      </w:r>
      <w:r w:rsidRPr="00DE0AC2">
        <w:t xml:space="preserve">ocedures </w:t>
      </w:r>
    </w:p>
    <w:p w:rsidR="00000000" w:rsidRPr="00DE0AC2" w:rsidP="00DE0AC2">
      <w:pPr>
        <w:pStyle w:val="ListBullet"/>
      </w:pPr>
      <w:r w:rsidRPr="00DE0AC2">
        <w:t xml:space="preserve">Apply safe handling requirements for equipment, products and materials, including use of personal protective equipment </w:t>
      </w:r>
    </w:p>
    <w:p w:rsidR="00000000" w:rsidRPr="00DE0AC2" w:rsidP="00DE0AC2">
      <w:pPr>
        <w:pStyle w:val="ListBullet"/>
      </w:pPr>
      <w:r w:rsidRPr="00DE0AC2">
        <w:t xml:space="preserve">Identify materials used in the work process </w:t>
      </w:r>
    </w:p>
    <w:p w:rsidR="00000000" w:rsidRPr="00DE0AC2" w:rsidP="00DE0AC2">
      <w:pPr>
        <w:pStyle w:val="ListBullet"/>
      </w:pPr>
      <w:r w:rsidRPr="00DE0AC2">
        <w:t xml:space="preserve">Follow work instructions, operating procedures and inspection processes to: </w:t>
      </w:r>
    </w:p>
    <w:p w:rsidR="00000000" w:rsidRPr="00DE0AC2" w:rsidP="00DE0AC2">
      <w:pPr>
        <w:pStyle w:val="ListBullet2"/>
      </w:pPr>
      <w:r w:rsidRPr="00DE0AC2">
        <w:t>min</w:t>
      </w:r>
      <w:r w:rsidRPr="00DE0AC2">
        <w:t xml:space="preserve">imise the risk of injury to self or others </w:t>
      </w:r>
    </w:p>
    <w:p w:rsidR="00000000" w:rsidRPr="00DE0AC2" w:rsidP="00DE0AC2">
      <w:pPr>
        <w:pStyle w:val="ListBullet2"/>
      </w:pPr>
      <w:r w:rsidRPr="00DE0AC2">
        <w:t xml:space="preserve">prevent damage to goods, equipment and products </w:t>
      </w:r>
    </w:p>
    <w:p w:rsidR="00000000" w:rsidRPr="00DE0AC2" w:rsidP="00DE0AC2">
      <w:pPr>
        <w:pStyle w:val="ListBullet2"/>
      </w:pPr>
      <w:r w:rsidRPr="00DE0AC2">
        <w:t xml:space="preserve">maintain required production output and product quality </w:t>
      </w:r>
    </w:p>
    <w:p w:rsidR="00000000" w:rsidRPr="00DE0AC2" w:rsidP="00DE0AC2">
      <w:pPr>
        <w:pStyle w:val="ListBullet"/>
      </w:pPr>
      <w:r w:rsidRPr="00DE0AC2">
        <w:t xml:space="preserve">Prepare and present design information in accordance with the concepts and design brief to a prospective </w:t>
      </w:r>
      <w:r w:rsidRPr="00DE0AC2">
        <w:t xml:space="preserve">client interested in buying a design for manufacturing purposes, and effectively apply design elements and principles to the presentation </w:t>
      </w:r>
    </w:p>
    <w:p w:rsidR="00000000" w:rsidRPr="00DE0AC2" w:rsidP="00DE0AC2">
      <w:pPr>
        <w:pStyle w:val="ListBullet"/>
      </w:pPr>
      <w:r w:rsidRPr="00DE0AC2">
        <w:t>Use mathematical ideas and techniques to correctly complete measurements, calculate area and estimate material requir</w:t>
      </w:r>
      <w:r w:rsidRPr="00DE0AC2">
        <w:t xml:space="preserve">ements </w:t>
      </w:r>
    </w:p>
    <w:p w:rsidR="00000000" w:rsidRPr="00DE0AC2" w:rsidP="00DE0AC2">
      <w:pPr>
        <w:pStyle w:val="ListBullet"/>
      </w:pPr>
      <w:r w:rsidRPr="00DE0AC2">
        <w:t xml:space="preserve">Lead others and work effectively to improve production quality and outcomes </w:t>
      </w:r>
    </w:p>
    <w:p w:rsidR="00000000" w:rsidRPr="00DE0AC2" w:rsidP="00DE0AC2">
      <w:pPr>
        <w:pStyle w:val="ListBullet"/>
      </w:pPr>
      <w:r w:rsidRPr="00DE0AC2">
        <w:t>Communicate ideas and information to enable confirmation of work requirements and specifications and the reporting of work outcomes and problems, interpret basic plans and</w:t>
      </w:r>
      <w:r w:rsidRPr="00DE0AC2">
        <w:t xml:space="preserve"> follow safety procedures </w:t>
      </w:r>
    </w:p>
    <w:p w:rsidR="00000000" w:rsidRPr="00DE0AC2" w:rsidP="00DE0AC2">
      <w:pPr>
        <w:pStyle w:val="ListBullet"/>
      </w:pPr>
      <w:r w:rsidRPr="00DE0AC2">
        <w:t xml:space="preserve">Use workplace technology related to the coordination, including communication equipment, time and management aids and other measuring devices </w:t>
      </w:r>
    </w:p>
    <w:p w:rsidR="00000000" w:rsidRPr="00DE0AC2" w:rsidP="00DE0AC2">
      <w:pPr>
        <w:pStyle w:val="ListBullet"/>
      </w:pPr>
      <w:r w:rsidRPr="00DE0AC2">
        <w:t>Minimise wastage of resources, including materials, time and money</w:t>
      </w:r>
    </w:p>
    <w:p w:rsidR="00000000" w:rsidRPr="00DE0AC2" w:rsidP="00DE0AC2">
      <w:pPr>
        <w:pStyle w:val="ListBullet"/>
      </w:pPr>
      <w:r w:rsidRPr="00DE0AC2">
        <w:t>Work with others an</w:t>
      </w:r>
      <w:r w:rsidRPr="00DE0AC2">
        <w:t>d in a team by recognising dependencies and using cooperative approaches to optimise work flow and productivity and encourage participation of employees in the planning of work activities and changes</w:t>
      </w:r>
    </w:p>
    <w:p w:rsidR="00000000" w:rsidRPr="00DE0AC2" w:rsidP="00DE0AC2">
      <w:pPr>
        <w:pStyle w:val="AllowPageBreak"/>
      </w:pPr>
    </w:p>
    <w:p w:rsidR="00000000" w:rsidRPr="00DE0AC2" w:rsidP="00DE0AC2">
      <w:pPr>
        <w:pStyle w:val="Heading1"/>
      </w:pPr>
      <w:bookmarkStart w:id="13" w:name="O_631550"/>
      <w:bookmarkEnd w:id="13"/>
      <w:r w:rsidRPr="00DE0AC2">
        <w:t>Knowledge Evidence</w:t>
      </w:r>
    </w:p>
    <w:p w:rsidR="00000000" w:rsidRPr="00DE0AC2" w:rsidP="00DE0AC2">
      <w:pPr>
        <w:pStyle w:val="ListBullet"/>
      </w:pPr>
      <w:r w:rsidRPr="00DE0AC2">
        <w:t xml:space="preserve">State or territory </w:t>
      </w:r>
      <w:r w:rsidRPr="00DE0AC2">
        <w:t>WHS legislation, regulations, standards and codes of practice relevant to preparing and presenting design information</w:t>
      </w:r>
    </w:p>
    <w:p w:rsidR="00000000" w:rsidRPr="00DE0AC2" w:rsidP="00DE0AC2">
      <w:pPr>
        <w:pStyle w:val="ListBullet"/>
      </w:pPr>
      <w:r w:rsidRPr="00DE0AC2">
        <w:t>Organisational and site standards, requirements, policies and procedures for preparing and presenting design information</w:t>
      </w:r>
    </w:p>
    <w:p w:rsidR="00000000" w:rsidRPr="00DE0AC2" w:rsidP="00DE0AC2">
      <w:pPr>
        <w:pStyle w:val="ListBullet"/>
      </w:pPr>
      <w:r w:rsidRPr="00DE0AC2">
        <w:t>Environmental pro</w:t>
      </w:r>
      <w:r w:rsidRPr="00DE0AC2">
        <w:t>tection requirements</w:t>
      </w:r>
    </w:p>
    <w:p w:rsidR="00000000" w:rsidRPr="00DE0AC2" w:rsidP="00DE0AC2">
      <w:pPr>
        <w:pStyle w:val="ListBullet"/>
      </w:pPr>
      <w:r w:rsidRPr="00DE0AC2">
        <w:t>Established communication channels and protocols</w:t>
      </w:r>
    </w:p>
    <w:p w:rsidR="00000000" w:rsidRPr="00DE0AC2" w:rsidP="00DE0AC2">
      <w:pPr>
        <w:pStyle w:val="ListBullet"/>
      </w:pPr>
      <w:r w:rsidRPr="00DE0AC2">
        <w:t>Relevant problem identification and resolution techniques</w:t>
      </w:r>
    </w:p>
    <w:p w:rsidR="00000000" w:rsidRPr="00DE0AC2" w:rsidP="00DE0AC2">
      <w:pPr>
        <w:pStyle w:val="ListBullet"/>
      </w:pPr>
      <w:r w:rsidRPr="00DE0AC2">
        <w:t>Elements and principles of design</w:t>
      </w:r>
    </w:p>
    <w:p w:rsidR="00000000" w:rsidRPr="00DE0AC2" w:rsidP="00DE0AC2">
      <w:pPr>
        <w:pStyle w:val="ListBullet"/>
      </w:pPr>
      <w:r w:rsidRPr="00DE0AC2">
        <w:t>Ergonomics and aesthetic values</w:t>
      </w:r>
    </w:p>
    <w:p w:rsidR="00000000" w:rsidRPr="00DE0AC2" w:rsidP="00DE0AC2">
      <w:pPr>
        <w:pStyle w:val="ListBullet"/>
      </w:pPr>
      <w:r w:rsidRPr="00DE0AC2">
        <w:t>Types of tools and equipment and procedures for their safe use, operation and maintenance</w:t>
      </w:r>
    </w:p>
    <w:p w:rsidR="00000000" w:rsidRPr="00DE0AC2" w:rsidP="00DE0AC2">
      <w:pPr>
        <w:pStyle w:val="ListBullet"/>
      </w:pPr>
      <w:r w:rsidRPr="00DE0AC2">
        <w:t>Characteristics of materials, products and defects</w:t>
      </w:r>
    </w:p>
    <w:p w:rsidR="00000000" w:rsidRPr="00DE0AC2" w:rsidP="00DE0AC2">
      <w:pPr>
        <w:pStyle w:val="ListBullet"/>
      </w:pPr>
      <w:r w:rsidRPr="00DE0AC2">
        <w:t>Set-up and operation of equipment</w:t>
      </w:r>
    </w:p>
    <w:p w:rsidR="00000000" w:rsidRPr="00DE0AC2" w:rsidP="00DE0AC2">
      <w:pPr>
        <w:pStyle w:val="ListBullet"/>
      </w:pPr>
      <w:r w:rsidRPr="00DE0AC2">
        <w:t>Relevant computer programs</w:t>
      </w:r>
    </w:p>
    <w:p w:rsidR="00000000" w:rsidRPr="00DE0AC2" w:rsidP="00DE0AC2">
      <w:pPr>
        <w:pStyle w:val="ListBullet"/>
      </w:pPr>
      <w:r w:rsidRPr="00DE0AC2">
        <w:t>Presentation techniques and equipment</w:t>
      </w:r>
    </w:p>
    <w:p w:rsidR="00000000" w:rsidRPr="00DE0AC2" w:rsidP="00DE0AC2">
      <w:pPr>
        <w:pStyle w:val="ListBullet"/>
      </w:pPr>
      <w:r w:rsidRPr="00DE0AC2">
        <w:t>Product assembly</w:t>
      </w:r>
      <w:r w:rsidRPr="00DE0AC2">
        <w:t xml:space="preserve"> techniques</w:t>
      </w:r>
    </w:p>
    <w:p w:rsidR="00000000" w:rsidRPr="00DE0AC2" w:rsidP="00DE0AC2">
      <w:pPr>
        <w:pStyle w:val="ListBullet"/>
      </w:pPr>
      <w:r w:rsidRPr="00DE0AC2">
        <w:t>Sketching and drawing techniques</w:t>
      </w:r>
    </w:p>
    <w:p w:rsidR="00000000" w:rsidRPr="00DE0AC2" w:rsidP="00DE0AC2">
      <w:pPr>
        <w:pStyle w:val="ListBullet"/>
      </w:pPr>
      <w:r w:rsidRPr="00DE0AC2">
        <w:t>Storage systems and labelling</w:t>
      </w:r>
    </w:p>
    <w:p w:rsidR="00000000" w:rsidRPr="00DE0AC2" w:rsidP="00DE0AC2">
      <w:pPr>
        <w:pStyle w:val="ListBullet"/>
      </w:pPr>
      <w:r w:rsidRPr="00DE0AC2">
        <w:t>Procedures for the recording, reporting and maintenance of workplace records and information</w:t>
      </w:r>
    </w:p>
    <w:p w:rsidR="00000000" w:rsidRPr="00DE0AC2" w:rsidP="00DE0AC2">
      <w:pPr>
        <w:pStyle w:val="ListBullet"/>
      </w:pPr>
      <w:r w:rsidRPr="00DE0AC2">
        <w:t>Appropriate mathematical procedures for estimation and measurement</w:t>
      </w:r>
    </w:p>
    <w:p w:rsidR="00000000" w:rsidRPr="00DE0AC2" w:rsidP="00DE0AC2">
      <w:pPr>
        <w:pStyle w:val="AllowPageBreak"/>
      </w:pPr>
    </w:p>
    <w:p w:rsidR="00000000" w:rsidRPr="00DE0AC2" w:rsidP="00DE0AC2">
      <w:pPr>
        <w:pStyle w:val="Heading1"/>
      </w:pPr>
      <w:bookmarkStart w:id="14" w:name="O_631549"/>
      <w:bookmarkEnd w:id="14"/>
      <w:r w:rsidRPr="00DE0AC2">
        <w:t>Asse</w:t>
      </w:r>
      <w:r w:rsidRPr="00DE0AC2">
        <w:t>ssment Conditions</w:t>
      </w:r>
    </w:p>
    <w:p w:rsidR="00000000" w:rsidRPr="00DE0AC2" w:rsidP="00DE0AC2">
      <w:pPr>
        <w:pStyle w:val="ListBullet"/>
      </w:pPr>
      <w:r w:rsidRPr="00DE0AC2">
        <w:t>Assessors must:</w:t>
      </w:r>
    </w:p>
    <w:p w:rsidR="00000000" w:rsidRPr="00DE0AC2" w:rsidP="00DE0AC2">
      <w:pPr>
        <w:pStyle w:val="ListBullet2"/>
      </w:pPr>
      <w:r w:rsidRPr="00DE0AC2">
        <w:t>hold training and assessment competencies as determined by the National Skills Standards Council (NSSC) or its successors</w:t>
      </w:r>
    </w:p>
    <w:p w:rsidR="00000000" w:rsidRPr="00DE0AC2" w:rsidP="00DE0AC2">
      <w:pPr>
        <w:pStyle w:val="ListBullet2"/>
      </w:pPr>
      <w:r w:rsidRPr="00DE0AC2">
        <w:t xml:space="preserve">have vocational competency in the furnishing industry at least to the level being assessed with broad industry knowledge and experience, usually combined with a relevant industry qualification </w:t>
      </w:r>
    </w:p>
    <w:p w:rsidR="00000000" w:rsidRPr="00DE0AC2" w:rsidP="00DE0AC2">
      <w:pPr>
        <w:pStyle w:val="ListBullet2"/>
      </w:pPr>
      <w:r w:rsidRPr="00DE0AC2">
        <w:t>be familiar with the current skills and knowledge used and hav</w:t>
      </w:r>
      <w:r w:rsidRPr="00DE0AC2">
        <w:t>e relevant, current experience in the furnishing industry.</w:t>
      </w:r>
    </w:p>
    <w:p w:rsidR="00000000" w:rsidRPr="00DE0AC2" w:rsidP="00DE0AC2">
      <w:pPr>
        <w:pStyle w:val="ListBullet"/>
      </w:pPr>
      <w:r w:rsidRPr="00DE0AC2">
        <w:t xml:space="preserve">Assessment methods must confirm consistency of performance over time rather than a single assessment event and in a range of workplace relevant contexts. </w:t>
      </w:r>
    </w:p>
    <w:p w:rsidR="00000000" w:rsidRPr="00DE0AC2" w:rsidP="00DE0AC2">
      <w:pPr>
        <w:pStyle w:val="ListBullet"/>
      </w:pPr>
      <w:r w:rsidRPr="00DE0AC2">
        <w:t>Assessment must be by observation of rele</w:t>
      </w:r>
      <w:r w:rsidRPr="00DE0AC2">
        <w:t xml:space="preserve">vant tasks with questioning on underpinning knowledge and, where applicable, multimedia evidence, supervisor’s reports, projects and work samples. </w:t>
      </w:r>
    </w:p>
    <w:p w:rsidR="00000000" w:rsidRPr="00DE0AC2" w:rsidP="00DE0AC2">
      <w:pPr>
        <w:pStyle w:val="ListBullet"/>
      </w:pPr>
      <w:r w:rsidRPr="00DE0AC2">
        <w:t>Assessment is to be conducted on single units of competency or in conjunction with other related units of co</w:t>
      </w:r>
      <w:r w:rsidRPr="00DE0AC2">
        <w:t>mpetency. Foundation skills are integral to competent performance in the unit and should not be assessed separately.</w:t>
      </w:r>
    </w:p>
    <w:p w:rsidR="00000000" w:rsidRPr="00DE0AC2" w:rsidP="00DE0AC2">
      <w:pPr>
        <w:pStyle w:val="ListBullet"/>
      </w:pPr>
      <w:r w:rsidRPr="00DE0AC2">
        <w:t>Assessment must occur on the job or in a workplace simulated facility with relevant process, equipment, materials, work instructions and de</w:t>
      </w:r>
      <w:r w:rsidRPr="00DE0AC2">
        <w:t>adlines.</w:t>
      </w:r>
    </w:p>
    <w:p w:rsidR="00000000" w:rsidRPr="00DE0AC2" w:rsidP="00DE0AC2">
      <w:pPr>
        <w:pStyle w:val="ListBullet"/>
      </w:pPr>
      <w:r w:rsidRPr="00DE0AC2">
        <w:t>Access is required to materials, equipment and design specifications relevant to preparing and presenting design information.</w:t>
      </w:r>
    </w:p>
    <w:p w:rsidR="00000000" w:rsidRPr="00DE0AC2" w:rsidP="00DE0AC2">
      <w:pPr>
        <w:pStyle w:val="AllowPageBreak"/>
      </w:pPr>
    </w:p>
    <w:p w:rsidR="00000000" w:rsidRPr="00DE0AC2" w:rsidP="00DE0AC2">
      <w:pPr>
        <w:pStyle w:val="Heading1"/>
      </w:pPr>
      <w:bookmarkStart w:id="15" w:name="O_631547"/>
      <w:bookmarkEnd w:id="15"/>
      <w:r w:rsidRPr="00DE0AC2">
        <w:t>Links</w:t>
      </w:r>
    </w:p>
    <w:p w:rsidR="00000000" w:rsidRPr="00DE0AC2" w:rsidP="00DB542D">
      <w:pPr>
        <w:pStyle w:val="BodyText"/>
      </w:pPr>
      <w:r w:rsidRPr="00DE0AC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F6EF2">
        <w:rPr>
          <w:rStyle w:val="Hyperlink"/>
        </w:rPr>
        <w:t>https://vetnet.gov.au/Pages/TrainingDocs.aspx?q=0601ab95-583a-4e93-b2d4-cfb27b03ed73</w:t>
      </w:r>
      <w:r>
        <w:fldChar w:fldCharType="end"/>
      </w:r>
    </w:p>
    <w:p w:rsidR="00000000" w:rsidRPr="00DE0AC2" w:rsidP="00DE0AC2"/>
    <w:sectPr w:rsidSect="00DE0A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A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AC2" w:rsidRPr="00DB542D" w:rsidP="00DB54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A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42D" w:rsidP="00DE0A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DB542D" w:rsidP="00DE0A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B542D" w:rsidP="00DE0A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AC2" w:rsidP="00DE0AC2">
    <w:pPr>
      <w:pStyle w:val="Footer"/>
      <w:framePr w:wrap="around"/>
    </w:pPr>
    <w:r>
      <w:fldChar w:fldCharType="begin"/>
    </w:r>
    <w:r>
      <w:instrText xml:space="preserve"> DOCPROPERTY  Subject  \* MERGEFORMAT </w:instrText>
    </w:r>
    <w:r>
      <w:fldChar w:fldCharType="separate"/>
    </w:r>
    <w:r w:rsidR="00DB542D">
      <w:t>Approved</w:t>
    </w:r>
    <w:r w:rsidR="00DB542D">
      <w:fldChar w:fldCharType="end"/>
    </w:r>
    <w:r>
      <w:tab/>
      <w:t xml:space="preserve">Page </w:t>
    </w:r>
    <w:r>
      <w:fldChar w:fldCharType="begin"/>
    </w:r>
    <w:r>
      <w:instrText xml:space="preserve"> PAGE  \* Arabic  \* MERGEFORMAT </w:instrText>
    </w:r>
    <w:r>
      <w:fldChar w:fldCharType="separate"/>
    </w:r>
    <w:r w:rsidR="00DB542D">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542D">
      <w:rPr>
        <w:noProof/>
      </w:rPr>
      <w:t>8</w:t>
    </w:r>
    <w:r>
      <w:rPr>
        <w:noProof/>
      </w:rPr>
      <w:fldChar w:fldCharType="end"/>
    </w:r>
  </w:p>
  <w:p w:rsidR="00DE0AC2" w:rsidP="00DE0AC2">
    <w:pPr>
      <w:pStyle w:val="Footer"/>
      <w:framePr w:wrap="around"/>
    </w:pPr>
    <w:r>
      <w:t xml:space="preserve">© Commonwealth of Australia, </w:t>
    </w:r>
    <w:r>
      <w:fldChar w:fldCharType="begin"/>
    </w:r>
    <w:r>
      <w:instrText xml:space="preserve"> DATE  \@ "yyyy"  \* MERGEFORMAT </w:instrText>
    </w:r>
    <w:r>
      <w:fldChar w:fldCharType="separate"/>
    </w:r>
    <w:r w:rsidR="00DB542D">
      <w:rPr>
        <w:noProof/>
      </w:rPr>
      <w:t>2025</w:t>
    </w:r>
    <w:r>
      <w:fldChar w:fldCharType="end"/>
    </w:r>
    <w:r>
      <w:tab/>
    </w:r>
    <w:r>
      <w:fldChar w:fldCharType="begin"/>
    </w:r>
    <w:r>
      <w:instrText xml:space="preserve"> DOCPROPERTY  Author  \* MERGEFORMAT </w:instrText>
    </w:r>
    <w:r>
      <w:fldChar w:fldCharType="separate"/>
    </w:r>
    <w:r w:rsidR="00DB542D">
      <w:t>Skills Insight</w:t>
    </w:r>
    <w:r w:rsidR="00DB542D">
      <w:fldChar w:fldCharType="end"/>
    </w:r>
  </w:p>
  <w:p w:rsidR="00DE0AC2" w:rsidP="00DE0A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A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4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0AC2" w:rsidRPr="00DB542D" w:rsidP="00DB54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A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42D" w:rsidRPr="002D2AF8" w:rsidP="00DE0AC2">
    <w:pPr>
      <w:pStyle w:val="Header"/>
      <w:framePr w:wrap="around"/>
    </w:pPr>
    <w:r>
      <w:fldChar w:fldCharType="begin"/>
    </w:r>
    <w:r>
      <w:instrText xml:space="preserve"> TITLE   \* MERGEFORMAT </w:instrText>
    </w:r>
    <w:r>
      <w:fldChar w:fldCharType="separate"/>
    </w:r>
    <w:r>
      <w:t>MSFFDT4007 Prepare and present furniture design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542D" w:rsidP="00DE0A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AC2" w:rsidRPr="002D2AF8" w:rsidP="00DE0AC2">
    <w:pPr>
      <w:pStyle w:val="Header"/>
      <w:framePr w:wrap="around"/>
    </w:pPr>
    <w:r>
      <w:fldChar w:fldCharType="begin"/>
    </w:r>
    <w:r>
      <w:instrText xml:space="preserve"> TITLE   \* MERGEFORMAT </w:instrText>
    </w:r>
    <w:r>
      <w:fldChar w:fldCharType="separate"/>
    </w:r>
    <w:r w:rsidR="00DB542D">
      <w:t>MSFFDT4007 Prepare and present furniture design information</w:t>
    </w:r>
    <w:r w:rsidR="00DB542D">
      <w:fldChar w:fldCharType="end"/>
    </w:r>
    <w:r>
      <w:tab/>
      <w:t xml:space="preserve">Date this document was generated: </w:t>
    </w:r>
    <w:r>
      <w:fldChar w:fldCharType="begin"/>
    </w:r>
    <w:r>
      <w:instrText xml:space="preserve"> CREATEDATE  \@ "d MMMM yyyy"  \* MERGEFORMAT </w:instrText>
    </w:r>
    <w:r>
      <w:fldChar w:fldCharType="separate"/>
    </w:r>
    <w:r w:rsidR="00DB542D">
      <w:rPr>
        <w:noProof/>
      </w:rPr>
      <w:t>2 March 2025</w:t>
    </w:r>
    <w:r>
      <w:fldChar w:fldCharType="end"/>
    </w:r>
  </w:p>
  <w:p w:rsidR="00DE0AC2" w:rsidP="00DE0A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10E0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660D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BC7D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A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0AC2"/>
    <w:pPr>
      <w:spacing w:before="360" w:after="60"/>
      <w:outlineLvl w:val="0"/>
    </w:pPr>
    <w:rPr>
      <w:sz w:val="32"/>
    </w:rPr>
  </w:style>
  <w:style w:type="paragraph" w:styleId="Heading2">
    <w:name w:val="heading 2"/>
    <w:basedOn w:val="HeadingBase"/>
    <w:next w:val="BodyText"/>
    <w:link w:val="Heading2Char"/>
    <w:qFormat/>
    <w:rsid w:val="00DE0AC2"/>
    <w:pPr>
      <w:keepLines/>
      <w:spacing w:before="240" w:after="120"/>
      <w:outlineLvl w:val="1"/>
    </w:pPr>
    <w:rPr>
      <w:sz w:val="28"/>
      <w:szCs w:val="40"/>
    </w:rPr>
  </w:style>
  <w:style w:type="paragraph" w:styleId="Heading3">
    <w:name w:val="heading 3"/>
    <w:basedOn w:val="HeadingBase"/>
    <w:next w:val="BodyText"/>
    <w:link w:val="Heading3Char"/>
    <w:qFormat/>
    <w:rsid w:val="00DE0AC2"/>
    <w:pPr>
      <w:spacing w:before="180" w:after="120"/>
      <w:outlineLvl w:val="2"/>
    </w:pPr>
    <w:rPr>
      <w:spacing w:val="-10"/>
      <w:kern w:val="32"/>
    </w:rPr>
  </w:style>
  <w:style w:type="paragraph" w:styleId="Heading4">
    <w:name w:val="heading 4"/>
    <w:basedOn w:val="HeadingBase"/>
    <w:next w:val="BodyText"/>
    <w:link w:val="Heading4Char"/>
    <w:qFormat/>
    <w:rsid w:val="00DE0AC2"/>
    <w:pPr>
      <w:spacing w:before="160" w:after="120"/>
      <w:outlineLvl w:val="3"/>
    </w:pPr>
    <w:rPr>
      <w:sz w:val="22"/>
    </w:rPr>
  </w:style>
  <w:style w:type="paragraph" w:styleId="Heading5">
    <w:name w:val="heading 5"/>
    <w:basedOn w:val="HeadingBase"/>
    <w:next w:val="Normal"/>
    <w:link w:val="Heading5Char"/>
    <w:qFormat/>
    <w:rsid w:val="00DE0AC2"/>
    <w:pPr>
      <w:spacing w:before="80"/>
      <w:outlineLvl w:val="4"/>
    </w:pPr>
    <w:rPr>
      <w:color w:val="918585"/>
      <w:sz w:val="20"/>
    </w:rPr>
  </w:style>
  <w:style w:type="paragraph" w:styleId="Heading6">
    <w:name w:val="heading 6"/>
    <w:basedOn w:val="HeadingBase"/>
    <w:next w:val="Normal"/>
    <w:link w:val="Heading6Char"/>
    <w:qFormat/>
    <w:rsid w:val="00DE0AC2"/>
    <w:pPr>
      <w:spacing w:before="60"/>
      <w:outlineLvl w:val="5"/>
    </w:pPr>
    <w:rPr>
      <w:color w:val="918585"/>
      <w:sz w:val="20"/>
    </w:rPr>
  </w:style>
  <w:style w:type="paragraph" w:styleId="Heading7">
    <w:name w:val="heading 7"/>
    <w:basedOn w:val="Normal"/>
    <w:next w:val="Normal"/>
    <w:link w:val="Heading7Char"/>
    <w:qFormat/>
    <w:rsid w:val="00DE0AC2"/>
    <w:pPr>
      <w:ind w:left="720"/>
      <w:outlineLvl w:val="6"/>
    </w:pPr>
    <w:rPr>
      <w:i/>
    </w:rPr>
  </w:style>
  <w:style w:type="paragraph" w:styleId="Heading8">
    <w:name w:val="heading 8"/>
    <w:basedOn w:val="Normal"/>
    <w:next w:val="Normal"/>
    <w:link w:val="Heading8Char"/>
    <w:qFormat/>
    <w:rsid w:val="00DE0AC2"/>
    <w:pPr>
      <w:ind w:left="720"/>
      <w:outlineLvl w:val="7"/>
    </w:pPr>
    <w:rPr>
      <w:i/>
    </w:rPr>
  </w:style>
  <w:style w:type="paragraph" w:styleId="Heading9">
    <w:name w:val="heading 9"/>
    <w:basedOn w:val="Normal"/>
    <w:next w:val="Normal"/>
    <w:link w:val="Heading9Char"/>
    <w:qFormat/>
    <w:rsid w:val="00DE0AC2"/>
    <w:pPr>
      <w:ind w:left="720"/>
      <w:outlineLvl w:val="8"/>
    </w:pPr>
    <w:rPr>
      <w:i/>
    </w:rPr>
  </w:style>
  <w:style w:type="character" w:default="1" w:styleId="DefaultParagraphFont">
    <w:name w:val="Default Paragraph Font"/>
    <w:uiPriority w:val="1"/>
    <w:unhideWhenUsed/>
    <w:rsid w:val="00DE0A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0AC2"/>
  </w:style>
  <w:style w:type="character" w:customStyle="1" w:styleId="Heading1Char">
    <w:name w:val="Heading 1 Char"/>
    <w:basedOn w:val="DefaultParagraphFont"/>
    <w:link w:val="Heading1"/>
    <w:rsid w:val="00DE0AC2"/>
    <w:rPr>
      <w:rFonts w:ascii="Times New Roman" w:eastAsia="Times New Roman" w:hAnsi="Times New Roman" w:cs="Times New Roman"/>
      <w:b/>
      <w:sz w:val="32"/>
      <w:szCs w:val="20"/>
      <w:lang w:eastAsia="en-US"/>
    </w:rPr>
  </w:style>
  <w:style w:type="paragraph" w:styleId="BodyText">
    <w:name w:val="Body Text"/>
    <w:basedOn w:val="Normal"/>
    <w:link w:val="BodyTextChar"/>
    <w:rsid w:val="00DE0A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0AC2"/>
    <w:rPr>
      <w:rFonts w:ascii="Times New Roman" w:eastAsia="Times New Roman" w:hAnsi="Times New Roman" w:cs="Times New Roman"/>
      <w:sz w:val="24"/>
      <w:lang w:eastAsia="en-US"/>
    </w:rPr>
  </w:style>
  <w:style w:type="paragraph" w:styleId="ListBullet">
    <w:name w:val="List Bullet"/>
    <w:basedOn w:val="List"/>
    <w:rsid w:val="00DE0AC2"/>
    <w:pPr>
      <w:numPr>
        <w:numId w:val="12"/>
      </w:numPr>
      <w:tabs>
        <w:tab w:val="clear" w:pos="340"/>
      </w:tabs>
      <w:spacing w:before="40" w:after="40"/>
    </w:pPr>
  </w:style>
  <w:style w:type="character" w:customStyle="1" w:styleId="SpecialBold">
    <w:name w:val="Special Bold"/>
    <w:basedOn w:val="DefaultParagraphFont"/>
    <w:rsid w:val="00DE0AC2"/>
    <w:rPr>
      <w:b/>
      <w:spacing w:val="0"/>
    </w:rPr>
  </w:style>
  <w:style w:type="paragraph" w:styleId="ListBullet2">
    <w:name w:val="List Bullet 2"/>
    <w:basedOn w:val="List2"/>
    <w:rsid w:val="00DE0AC2"/>
    <w:pPr>
      <w:numPr>
        <w:numId w:val="13"/>
      </w:numPr>
      <w:tabs>
        <w:tab w:val="clear" w:pos="680"/>
      </w:tabs>
    </w:pPr>
  </w:style>
  <w:style w:type="paragraph" w:customStyle="1" w:styleId="SuperHeading">
    <w:name w:val="SuperHeading"/>
    <w:basedOn w:val="Normal"/>
    <w:rsid w:val="00DE0AC2"/>
    <w:pPr>
      <w:spacing w:before="240" w:after="120"/>
      <w:outlineLvl w:val="0"/>
    </w:pPr>
    <w:rPr>
      <w:rFonts w:ascii="Times New Roman" w:hAnsi="Times New Roman"/>
      <w:b/>
      <w:sz w:val="32"/>
    </w:rPr>
  </w:style>
  <w:style w:type="paragraph" w:customStyle="1" w:styleId="AllowPageBreak">
    <w:name w:val="AllowPageBreak"/>
    <w:rsid w:val="00DE0A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0A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0A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0A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0A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0A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0A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0A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0AC2"/>
    <w:rPr>
      <w:rFonts w:ascii="Courier New" w:eastAsia="Times New Roman" w:hAnsi="Courier New" w:cs="Times New Roman"/>
      <w:i/>
      <w:szCs w:val="20"/>
      <w:lang w:eastAsia="en-US"/>
    </w:rPr>
  </w:style>
  <w:style w:type="paragraph" w:customStyle="1" w:styleId="HeadingBase">
    <w:name w:val="Heading Base"/>
    <w:rsid w:val="00DE0A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0AC2"/>
    <w:pPr>
      <w:tabs>
        <w:tab w:val="right" w:leader="dot" w:pos="9072"/>
      </w:tabs>
      <w:ind w:left="567"/>
    </w:pPr>
    <w:rPr>
      <w:szCs w:val="22"/>
    </w:rPr>
  </w:style>
  <w:style w:type="paragraph" w:customStyle="1" w:styleId="TOCBase">
    <w:name w:val="TOC Base"/>
    <w:rsid w:val="00DE0A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0AC2"/>
    <w:pPr>
      <w:tabs>
        <w:tab w:val="right" w:leader="dot" w:pos="9072"/>
      </w:tabs>
      <w:spacing w:before="40" w:after="40"/>
      <w:ind w:left="284"/>
    </w:pPr>
    <w:rPr>
      <w:rFonts w:ascii="Times New Roman" w:hAnsi="Times New Roman"/>
    </w:rPr>
  </w:style>
  <w:style w:type="paragraph" w:styleId="TOC1">
    <w:name w:val="toc 1"/>
    <w:basedOn w:val="TOCBase"/>
    <w:next w:val="Normal"/>
    <w:rsid w:val="00DE0A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0A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0AC2"/>
    <w:rPr>
      <w:rFonts w:ascii="Times New Roman" w:eastAsia="Times New Roman" w:hAnsi="Times New Roman" w:cs="Times New Roman"/>
      <w:sz w:val="16"/>
      <w:lang w:eastAsia="en-US"/>
    </w:rPr>
  </w:style>
  <w:style w:type="paragraph" w:styleId="Title">
    <w:name w:val="Title"/>
    <w:basedOn w:val="HeadingBase"/>
    <w:link w:val="TitleChar"/>
    <w:qFormat/>
    <w:rsid w:val="00DE0AC2"/>
    <w:pPr>
      <w:spacing w:before="5040"/>
      <w:jc w:val="center"/>
    </w:pPr>
    <w:rPr>
      <w:sz w:val="48"/>
      <w:szCs w:val="72"/>
      <w:lang w:val="en-US"/>
    </w:rPr>
  </w:style>
  <w:style w:type="character" w:customStyle="1" w:styleId="TitleChar">
    <w:name w:val="Title Char"/>
    <w:basedOn w:val="DefaultParagraphFont"/>
    <w:link w:val="Title"/>
    <w:rsid w:val="00DE0A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0AC2"/>
    <w:pPr>
      <w:tabs>
        <w:tab w:val="left" w:pos="3600"/>
        <w:tab w:val="left" w:pos="3958"/>
      </w:tabs>
    </w:pPr>
  </w:style>
  <w:style w:type="paragraph" w:styleId="List">
    <w:name w:val="List"/>
    <w:basedOn w:val="BodyText"/>
    <w:next w:val="BodyText"/>
    <w:rsid w:val="00DE0AC2"/>
    <w:pPr>
      <w:tabs>
        <w:tab w:val="left" w:pos="340"/>
      </w:tabs>
      <w:spacing w:before="60" w:after="60"/>
      <w:ind w:left="340" w:hanging="340"/>
    </w:pPr>
  </w:style>
  <w:style w:type="paragraph" w:customStyle="1" w:styleId="Note">
    <w:name w:val="Note"/>
    <w:basedOn w:val="BodyText"/>
    <w:rsid w:val="00DE0A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0AC2"/>
    <w:pPr>
      <w:framePr w:wrap="auto" w:hAnchor="text" w:y="6049"/>
    </w:pPr>
    <w:rPr>
      <w:color w:val="000000"/>
      <w:sz w:val="40"/>
    </w:rPr>
  </w:style>
  <w:style w:type="paragraph" w:customStyle="1" w:styleId="TOCTitle">
    <w:name w:val="TOCTitle"/>
    <w:basedOn w:val="Heading1"/>
    <w:rsid w:val="00DE0AC2"/>
    <w:pPr>
      <w:spacing w:after="240"/>
      <w:jc w:val="center"/>
      <w:outlineLvl w:val="9"/>
    </w:pPr>
    <w:rPr>
      <w:caps/>
    </w:rPr>
  </w:style>
  <w:style w:type="paragraph" w:customStyle="1" w:styleId="Version">
    <w:name w:val="Version"/>
    <w:rsid w:val="00DE0A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0AC2"/>
    <w:pPr>
      <w:keepNext w:val="0"/>
      <w:tabs>
        <w:tab w:val="right" w:pos="4176"/>
      </w:tabs>
      <w:ind w:left="198" w:hanging="198"/>
    </w:pPr>
    <w:rPr>
      <w:rFonts w:ascii="Garamond" w:hAnsi="Garamond"/>
    </w:rPr>
  </w:style>
  <w:style w:type="paragraph" w:styleId="IndexHeading">
    <w:name w:val="index heading"/>
    <w:basedOn w:val="Normal"/>
    <w:next w:val="Index1"/>
    <w:semiHidden/>
    <w:rsid w:val="00DE0AC2"/>
    <w:pPr>
      <w:spacing w:before="120" w:after="120"/>
    </w:pPr>
    <w:rPr>
      <w:rFonts w:ascii="Arial" w:hAnsi="Arial"/>
      <w:b/>
      <w:color w:val="918585"/>
      <w:sz w:val="24"/>
    </w:rPr>
  </w:style>
  <w:style w:type="paragraph" w:styleId="Header">
    <w:name w:val="header"/>
    <w:basedOn w:val="Normal"/>
    <w:link w:val="HeaderChar"/>
    <w:rsid w:val="00DE0A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0AC2"/>
    <w:rPr>
      <w:rFonts w:ascii="Times New Roman" w:eastAsia="Times New Roman" w:hAnsi="Times New Roman" w:cs="Times New Roman"/>
      <w:sz w:val="16"/>
      <w:szCs w:val="20"/>
      <w:lang w:val="en-GB" w:eastAsia="en-US"/>
    </w:rPr>
  </w:style>
  <w:style w:type="paragraph" w:customStyle="1" w:styleId="Chapter">
    <w:name w:val="Chapter"/>
    <w:basedOn w:val="Normal"/>
    <w:rsid w:val="00DE0AC2"/>
    <w:pPr>
      <w:spacing w:before="240"/>
    </w:pPr>
    <w:rPr>
      <w:rFonts w:ascii="Times New Roman" w:hAnsi="Times New Roman"/>
      <w:smallCaps/>
      <w:spacing w:val="80"/>
      <w:sz w:val="28"/>
    </w:rPr>
  </w:style>
  <w:style w:type="paragraph" w:customStyle="1" w:styleId="InChapter">
    <w:name w:val="InChapter"/>
    <w:basedOn w:val="Heading3"/>
    <w:rsid w:val="00DE0AC2"/>
    <w:pPr>
      <w:spacing w:after="240"/>
      <w:outlineLvl w:val="9"/>
    </w:pPr>
    <w:rPr>
      <w:noProof/>
    </w:rPr>
  </w:style>
  <w:style w:type="paragraph" w:styleId="Index2">
    <w:name w:val="index 2"/>
    <w:basedOn w:val="Normal"/>
    <w:next w:val="Normal"/>
    <w:semiHidden/>
    <w:rsid w:val="00DE0AC2"/>
    <w:pPr>
      <w:tabs>
        <w:tab w:val="right" w:pos="4176"/>
      </w:tabs>
      <w:ind w:left="568" w:hanging="284"/>
    </w:pPr>
    <w:rPr>
      <w:rFonts w:ascii="Garamond" w:hAnsi="Garamond"/>
    </w:rPr>
  </w:style>
  <w:style w:type="paragraph" w:customStyle="1" w:styleId="Byline">
    <w:name w:val="Byline"/>
    <w:rsid w:val="00DE0A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0AC2"/>
    <w:pPr>
      <w:tabs>
        <w:tab w:val="clear" w:pos="3600"/>
        <w:tab w:val="clear" w:pos="3958"/>
      </w:tabs>
      <w:jc w:val="right"/>
    </w:pPr>
  </w:style>
  <w:style w:type="character" w:styleId="Emphasis">
    <w:name w:val="Emphasis"/>
    <w:basedOn w:val="DefaultParagraphFont"/>
    <w:qFormat/>
    <w:rsid w:val="00DE0AC2"/>
    <w:rPr>
      <w:i/>
    </w:rPr>
  </w:style>
  <w:style w:type="paragraph" w:styleId="Caption">
    <w:name w:val="caption"/>
    <w:basedOn w:val="BodyText"/>
    <w:next w:val="Normal"/>
    <w:qFormat/>
    <w:rsid w:val="00DE0AC2"/>
    <w:pPr>
      <w:framePr w:w="2268" w:hSpace="181" w:vSpace="181" w:wrap="around" w:vAnchor="text" w:hAnchor="page" w:x="1135" w:y="285" w:anchorLock="1"/>
    </w:pPr>
    <w:rPr>
      <w:i/>
    </w:rPr>
  </w:style>
  <w:style w:type="paragraph" w:customStyle="1" w:styleId="MiniTOCTitle">
    <w:name w:val="MiniTOCTitle"/>
    <w:basedOn w:val="Heading4"/>
    <w:rsid w:val="00DE0AC2"/>
    <w:pPr>
      <w:spacing w:before="240"/>
      <w:outlineLvl w:val="9"/>
    </w:pPr>
    <w:rPr>
      <w:noProof/>
      <w:sz w:val="24"/>
    </w:rPr>
  </w:style>
  <w:style w:type="paragraph" w:customStyle="1" w:styleId="MiniTOCItem">
    <w:name w:val="MiniTOCItem"/>
    <w:basedOn w:val="ListBullet"/>
    <w:rsid w:val="00DE0AC2"/>
    <w:pPr>
      <w:numPr>
        <w:numId w:val="0"/>
      </w:numPr>
      <w:tabs>
        <w:tab w:val="right" w:leader="dot" w:pos="6521"/>
      </w:tabs>
      <w:spacing w:before="0" w:after="0"/>
    </w:pPr>
  </w:style>
  <w:style w:type="paragraph" w:customStyle="1" w:styleId="TOFTitle">
    <w:name w:val="TOFTitle"/>
    <w:basedOn w:val="TOCTitle"/>
    <w:rsid w:val="00DE0AC2"/>
  </w:style>
  <w:style w:type="paragraph" w:styleId="TableofFigures">
    <w:name w:val="table of figures"/>
    <w:basedOn w:val="Normal"/>
    <w:next w:val="Normal"/>
    <w:semiHidden/>
    <w:rsid w:val="00DE0AC2"/>
    <w:pPr>
      <w:tabs>
        <w:tab w:val="right" w:leader="dot" w:pos="9072"/>
      </w:tabs>
      <w:ind w:left="970" w:hanging="403"/>
    </w:pPr>
    <w:rPr>
      <w:rFonts w:ascii="Times New Roman" w:hAnsi="Times New Roman"/>
      <w:b/>
    </w:rPr>
  </w:style>
  <w:style w:type="paragraph" w:styleId="ListNumber">
    <w:name w:val="List Number"/>
    <w:basedOn w:val="List"/>
    <w:rsid w:val="00DE0AC2"/>
    <w:pPr>
      <w:numPr>
        <w:numId w:val="15"/>
      </w:numPr>
      <w:tabs>
        <w:tab w:val="clear" w:pos="340"/>
      </w:tabs>
    </w:pPr>
  </w:style>
  <w:style w:type="character" w:customStyle="1" w:styleId="WingdingSymbols">
    <w:name w:val="Wingding Symbols"/>
    <w:rsid w:val="00DE0AC2"/>
    <w:rPr>
      <w:rFonts w:ascii="Wingdings" w:hAnsi="Wingdings"/>
    </w:rPr>
  </w:style>
  <w:style w:type="paragraph" w:customStyle="1" w:styleId="TableHeading">
    <w:name w:val="Table Heading"/>
    <w:basedOn w:val="HeadingBase"/>
    <w:rsid w:val="00DE0AC2"/>
    <w:pPr>
      <w:keepLines/>
      <w:pBdr>
        <w:bottom w:val="single" w:sz="6" w:space="1" w:color="918585"/>
      </w:pBdr>
      <w:spacing w:before="240"/>
    </w:pPr>
  </w:style>
  <w:style w:type="character" w:customStyle="1" w:styleId="HotSpot">
    <w:name w:val="HotSpot"/>
    <w:rsid w:val="00DE0AC2"/>
    <w:rPr>
      <w:color w:val="0033CC"/>
      <w:u w:val="none"/>
    </w:rPr>
  </w:style>
  <w:style w:type="paragraph" w:customStyle="1" w:styleId="BodyTextRight">
    <w:name w:val="Body Text Right"/>
    <w:basedOn w:val="BodyText"/>
    <w:rsid w:val="00DE0AC2"/>
    <w:pPr>
      <w:spacing w:before="0" w:after="0"/>
      <w:jc w:val="right"/>
    </w:pPr>
  </w:style>
  <w:style w:type="paragraph" w:styleId="Index3">
    <w:name w:val="index 3"/>
    <w:basedOn w:val="ListNumber2"/>
    <w:next w:val="Normal"/>
    <w:semiHidden/>
    <w:rsid w:val="00DE0AC2"/>
    <w:pPr>
      <w:numPr>
        <w:numId w:val="0"/>
      </w:numPr>
      <w:tabs>
        <w:tab w:val="right" w:leader="dot" w:pos="4176"/>
      </w:tabs>
    </w:pPr>
  </w:style>
  <w:style w:type="paragraph" w:styleId="ListNumber2">
    <w:name w:val="List Number 2"/>
    <w:basedOn w:val="List2"/>
    <w:rsid w:val="00DE0AC2"/>
    <w:pPr>
      <w:numPr>
        <w:numId w:val="10"/>
      </w:numPr>
      <w:tabs>
        <w:tab w:val="clear" w:pos="1060"/>
      </w:tabs>
    </w:pPr>
  </w:style>
  <w:style w:type="paragraph" w:customStyle="1" w:styleId="MarginNote">
    <w:name w:val="Margin Note"/>
    <w:basedOn w:val="BodyText"/>
    <w:rsid w:val="00DE0A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0A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0A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0AC2"/>
    <w:rPr>
      <w:sz w:val="32"/>
    </w:rPr>
  </w:style>
  <w:style w:type="paragraph" w:customStyle="1" w:styleId="HeadingProcedure">
    <w:name w:val="Heading Procedure"/>
    <w:basedOn w:val="HeadingBase"/>
    <w:next w:val="Normal"/>
    <w:rsid w:val="00DE0AC2"/>
    <w:pPr>
      <w:tabs>
        <w:tab w:val="left" w:pos="0"/>
      </w:tabs>
      <w:spacing w:before="120" w:after="60"/>
    </w:pPr>
    <w:rPr>
      <w:i/>
      <w:color w:val="918585"/>
      <w:sz w:val="22"/>
    </w:rPr>
  </w:style>
  <w:style w:type="paragraph" w:customStyle="1" w:styleId="TableBodyText">
    <w:name w:val="Table Body Text"/>
    <w:basedOn w:val="BodyText"/>
    <w:rsid w:val="00DE0AC2"/>
    <w:pPr>
      <w:spacing w:before="60" w:after="60"/>
    </w:pPr>
  </w:style>
  <w:style w:type="paragraph" w:styleId="ListContinue">
    <w:name w:val="List Continue"/>
    <w:basedOn w:val="List"/>
    <w:rsid w:val="00DE0AC2"/>
    <w:pPr>
      <w:ind w:firstLine="0"/>
    </w:pPr>
  </w:style>
  <w:style w:type="paragraph" w:customStyle="1" w:styleId="ListNote">
    <w:name w:val="List Note"/>
    <w:basedOn w:val="List"/>
    <w:rsid w:val="00DE0AC2"/>
    <w:pPr>
      <w:pBdr>
        <w:top w:val="single" w:sz="6" w:space="2" w:color="918585"/>
        <w:bottom w:val="single" w:sz="6" w:space="2" w:color="918585"/>
      </w:pBdr>
      <w:tabs>
        <w:tab w:val="left" w:pos="1021"/>
      </w:tabs>
      <w:ind w:firstLine="0"/>
    </w:pPr>
  </w:style>
  <w:style w:type="paragraph" w:customStyle="1" w:styleId="Warning">
    <w:name w:val="Warning"/>
    <w:basedOn w:val="BodyText"/>
    <w:rsid w:val="00DE0AC2"/>
    <w:pPr>
      <w:shd w:val="clear" w:color="auto" w:fill="D9D9D9"/>
      <w:tabs>
        <w:tab w:val="left" w:pos="992"/>
      </w:tabs>
      <w:ind w:left="119" w:right="119"/>
    </w:pPr>
    <w:rPr>
      <w:sz w:val="20"/>
    </w:rPr>
  </w:style>
  <w:style w:type="paragraph" w:customStyle="1" w:styleId="MarginIcons">
    <w:name w:val="Margin Icons"/>
    <w:basedOn w:val="BodyText"/>
    <w:rsid w:val="00DE0A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0AC2"/>
    <w:rPr>
      <w:rFonts w:ascii="Courier New" w:hAnsi="Courier New"/>
    </w:rPr>
  </w:style>
  <w:style w:type="paragraph" w:customStyle="1" w:styleId="NoteBullet">
    <w:name w:val="Note Bullet"/>
    <w:basedOn w:val="Note"/>
    <w:rsid w:val="00DE0AC2"/>
    <w:pPr>
      <w:tabs>
        <w:tab w:val="clear" w:pos="680"/>
      </w:tabs>
      <w:spacing w:before="60" w:after="60"/>
    </w:pPr>
  </w:style>
  <w:style w:type="paragraph" w:customStyle="1" w:styleId="SubHeading2">
    <w:name w:val="SubHeading2"/>
    <w:basedOn w:val="HeadingBase"/>
    <w:rsid w:val="00DE0AC2"/>
    <w:pPr>
      <w:spacing w:before="240" w:after="60"/>
    </w:pPr>
    <w:rPr>
      <w:sz w:val="20"/>
    </w:rPr>
  </w:style>
  <w:style w:type="paragraph" w:customStyle="1" w:styleId="SubHeading1">
    <w:name w:val="SubHeading1"/>
    <w:basedOn w:val="HeadingBase"/>
    <w:rsid w:val="00DE0AC2"/>
    <w:pPr>
      <w:spacing w:before="240" w:after="60"/>
    </w:pPr>
    <w:rPr>
      <w:color w:val="918585"/>
      <w:sz w:val="22"/>
    </w:rPr>
  </w:style>
  <w:style w:type="paragraph" w:customStyle="1" w:styleId="SideHeading">
    <w:name w:val="Side Heading"/>
    <w:basedOn w:val="HeadingBase"/>
    <w:rsid w:val="00DE0A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0AC2"/>
    <w:pPr>
      <w:tabs>
        <w:tab w:val="num" w:pos="360"/>
      </w:tabs>
    </w:pPr>
  </w:style>
  <w:style w:type="paragraph" w:styleId="PlainText">
    <w:name w:val="Plain Text"/>
    <w:basedOn w:val="Normal"/>
    <w:link w:val="PlainTextChar"/>
    <w:rsid w:val="00DE0AC2"/>
    <w:rPr>
      <w:sz w:val="20"/>
    </w:rPr>
  </w:style>
  <w:style w:type="character" w:customStyle="1" w:styleId="PlainTextChar">
    <w:name w:val="Plain Text Char"/>
    <w:basedOn w:val="DefaultParagraphFont"/>
    <w:link w:val="PlainText"/>
    <w:rsid w:val="00DE0AC2"/>
    <w:rPr>
      <w:rFonts w:ascii="Courier New" w:eastAsia="Times New Roman" w:hAnsi="Courier New" w:cs="Times New Roman"/>
      <w:sz w:val="20"/>
      <w:szCs w:val="20"/>
      <w:lang w:eastAsia="en-US"/>
    </w:rPr>
  </w:style>
  <w:style w:type="character" w:customStyle="1" w:styleId="MenuOption">
    <w:name w:val="Menu Option"/>
    <w:basedOn w:val="DefaultParagraphFont"/>
    <w:rsid w:val="00DE0AC2"/>
    <w:rPr>
      <w:b/>
      <w:smallCaps/>
    </w:rPr>
  </w:style>
  <w:style w:type="paragraph" w:customStyle="1" w:styleId="TableListNumber">
    <w:name w:val="Table List Number"/>
    <w:basedOn w:val="ListNumber"/>
    <w:rsid w:val="00DE0AC2"/>
    <w:pPr>
      <w:numPr>
        <w:numId w:val="0"/>
      </w:numPr>
    </w:pPr>
  </w:style>
  <w:style w:type="paragraph" w:styleId="TOC4">
    <w:name w:val="toc 4"/>
    <w:basedOn w:val="TOCBase"/>
    <w:next w:val="Normal"/>
    <w:semiHidden/>
    <w:rsid w:val="00DE0AC2"/>
    <w:pPr>
      <w:tabs>
        <w:tab w:val="right" w:leader="dot" w:pos="9071"/>
      </w:tabs>
      <w:ind w:left="1701"/>
    </w:pPr>
  </w:style>
  <w:style w:type="paragraph" w:customStyle="1" w:styleId="ListAlpha">
    <w:name w:val="List Alpha"/>
    <w:basedOn w:val="List"/>
    <w:rsid w:val="00DE0AC2"/>
    <w:pPr>
      <w:numPr>
        <w:numId w:val="9"/>
      </w:numPr>
    </w:pPr>
  </w:style>
  <w:style w:type="paragraph" w:customStyle="1" w:styleId="ListAlpha2">
    <w:name w:val="List Alpha 2"/>
    <w:basedOn w:val="List2"/>
    <w:rsid w:val="00DE0AC2"/>
    <w:pPr>
      <w:numPr>
        <w:numId w:val="8"/>
      </w:numPr>
    </w:pPr>
  </w:style>
  <w:style w:type="paragraph" w:styleId="List2">
    <w:name w:val="List 2"/>
    <w:basedOn w:val="BodyText"/>
    <w:rsid w:val="00DE0AC2"/>
    <w:pPr>
      <w:tabs>
        <w:tab w:val="left" w:pos="680"/>
      </w:tabs>
      <w:spacing w:before="60" w:after="60"/>
      <w:ind w:left="680" w:hanging="340"/>
    </w:pPr>
  </w:style>
  <w:style w:type="paragraph" w:styleId="List3">
    <w:name w:val="List 3"/>
    <w:basedOn w:val="BodyText"/>
    <w:rsid w:val="00DE0AC2"/>
    <w:pPr>
      <w:tabs>
        <w:tab w:val="left" w:pos="1021"/>
      </w:tabs>
      <w:spacing w:before="60" w:after="60"/>
      <w:ind w:left="1020" w:hanging="340"/>
    </w:pPr>
  </w:style>
  <w:style w:type="paragraph" w:styleId="List4">
    <w:name w:val="List 4"/>
    <w:basedOn w:val="BodyText"/>
    <w:rsid w:val="00DE0AC2"/>
    <w:pPr>
      <w:tabs>
        <w:tab w:val="left" w:pos="1361"/>
      </w:tabs>
      <w:spacing w:before="60" w:after="60"/>
      <w:ind w:left="1361" w:hanging="340"/>
    </w:pPr>
  </w:style>
  <w:style w:type="paragraph" w:styleId="List5">
    <w:name w:val="List 5"/>
    <w:basedOn w:val="BodyText"/>
    <w:rsid w:val="00DE0AC2"/>
    <w:pPr>
      <w:tabs>
        <w:tab w:val="left" w:pos="1701"/>
      </w:tabs>
      <w:spacing w:before="60" w:after="60"/>
      <w:ind w:left="1701" w:hanging="340"/>
    </w:pPr>
  </w:style>
  <w:style w:type="paragraph" w:styleId="ListBullet3">
    <w:name w:val="List Bullet 3"/>
    <w:basedOn w:val="List3"/>
    <w:rsid w:val="00DE0AC2"/>
    <w:pPr>
      <w:numPr>
        <w:numId w:val="14"/>
      </w:numPr>
      <w:tabs>
        <w:tab w:val="clear" w:pos="1021"/>
      </w:tabs>
      <w:ind w:left="1037" w:hanging="357"/>
    </w:pPr>
  </w:style>
  <w:style w:type="paragraph" w:styleId="ListBullet4">
    <w:name w:val="List Bullet 4"/>
    <w:basedOn w:val="List4"/>
    <w:rsid w:val="00DE0AC2"/>
    <w:pPr>
      <w:numPr>
        <w:numId w:val="3"/>
      </w:numPr>
      <w:tabs>
        <w:tab w:val="clear" w:pos="1361"/>
      </w:tabs>
    </w:pPr>
  </w:style>
  <w:style w:type="paragraph" w:styleId="ListBullet5">
    <w:name w:val="List Bullet 5"/>
    <w:basedOn w:val="List5"/>
    <w:rsid w:val="00DE0AC2"/>
    <w:pPr>
      <w:numPr>
        <w:numId w:val="4"/>
      </w:numPr>
    </w:pPr>
  </w:style>
  <w:style w:type="paragraph" w:styleId="ListContinue2">
    <w:name w:val="List Continue 2"/>
    <w:basedOn w:val="List2"/>
    <w:rsid w:val="00DE0AC2"/>
    <w:pPr>
      <w:ind w:firstLine="0"/>
    </w:pPr>
  </w:style>
  <w:style w:type="paragraph" w:styleId="ListContinue3">
    <w:name w:val="List Continue 3"/>
    <w:basedOn w:val="List3"/>
    <w:rsid w:val="00DE0AC2"/>
    <w:pPr>
      <w:ind w:left="1021" w:firstLine="0"/>
    </w:pPr>
  </w:style>
  <w:style w:type="paragraph" w:styleId="ListContinue4">
    <w:name w:val="List Continue 4"/>
    <w:basedOn w:val="List4"/>
    <w:rsid w:val="00DE0AC2"/>
    <w:pPr>
      <w:ind w:firstLine="0"/>
    </w:pPr>
  </w:style>
  <w:style w:type="paragraph" w:styleId="ListContinue5">
    <w:name w:val="List Continue 5"/>
    <w:basedOn w:val="List5"/>
    <w:rsid w:val="00DE0AC2"/>
    <w:pPr>
      <w:ind w:firstLine="0"/>
    </w:pPr>
  </w:style>
  <w:style w:type="paragraph" w:styleId="ListNumber3">
    <w:name w:val="List Number 3"/>
    <w:basedOn w:val="List3"/>
    <w:rsid w:val="00DE0AC2"/>
    <w:pPr>
      <w:numPr>
        <w:numId w:val="5"/>
      </w:numPr>
    </w:pPr>
  </w:style>
  <w:style w:type="paragraph" w:styleId="ListNumber4">
    <w:name w:val="List Number 4"/>
    <w:basedOn w:val="List4"/>
    <w:rsid w:val="00DE0AC2"/>
    <w:pPr>
      <w:numPr>
        <w:numId w:val="6"/>
      </w:numPr>
    </w:pPr>
  </w:style>
  <w:style w:type="paragraph" w:styleId="ListNumber5">
    <w:name w:val="List Number 5"/>
    <w:basedOn w:val="List5"/>
    <w:rsid w:val="00DE0AC2"/>
    <w:pPr>
      <w:numPr>
        <w:numId w:val="7"/>
      </w:numPr>
    </w:pPr>
  </w:style>
  <w:style w:type="paragraph" w:styleId="BlockText">
    <w:name w:val="Block Text"/>
    <w:basedOn w:val="Normal"/>
    <w:rsid w:val="00DE0AC2"/>
    <w:pPr>
      <w:spacing w:after="120"/>
      <w:ind w:left="1440" w:right="1440"/>
    </w:pPr>
  </w:style>
  <w:style w:type="character" w:customStyle="1" w:styleId="Subscript">
    <w:name w:val="Subscript"/>
    <w:basedOn w:val="DefaultParagraphFont"/>
    <w:rsid w:val="00DE0AC2"/>
    <w:rPr>
      <w:sz w:val="16"/>
      <w:vertAlign w:val="subscript"/>
    </w:rPr>
  </w:style>
  <w:style w:type="character" w:customStyle="1" w:styleId="Superscript">
    <w:name w:val="Superscript"/>
    <w:basedOn w:val="DefaultParagraphFont"/>
    <w:rsid w:val="00DE0AC2"/>
    <w:rPr>
      <w:sz w:val="16"/>
      <w:vertAlign w:val="superscript"/>
    </w:rPr>
  </w:style>
  <w:style w:type="character" w:customStyle="1" w:styleId="Symbols">
    <w:name w:val="Symbols"/>
    <w:basedOn w:val="DefaultParagraphFont"/>
    <w:rsid w:val="00DE0AC2"/>
    <w:rPr>
      <w:rFonts w:ascii="Symbol" w:hAnsi="Symbol"/>
    </w:rPr>
  </w:style>
  <w:style w:type="character" w:customStyle="1" w:styleId="MenuOptions">
    <w:name w:val="Menu Options"/>
    <w:basedOn w:val="DefaultParagraphFont"/>
    <w:rsid w:val="00DE0AC2"/>
    <w:rPr>
      <w:rFonts w:ascii="Arial Narrow" w:hAnsi="Arial Narrow"/>
      <w:smallCaps/>
    </w:rPr>
  </w:style>
  <w:style w:type="character" w:customStyle="1" w:styleId="Buttons">
    <w:name w:val="Buttons"/>
    <w:basedOn w:val="DefaultParagraphFont"/>
    <w:rsid w:val="00DE0AC2"/>
    <w:rPr>
      <w:b/>
    </w:rPr>
  </w:style>
  <w:style w:type="character" w:customStyle="1" w:styleId="Underlined">
    <w:name w:val="Underlined"/>
    <w:basedOn w:val="DefaultParagraphFont"/>
    <w:rsid w:val="00DE0AC2"/>
    <w:rPr>
      <w:u w:val="single"/>
    </w:rPr>
  </w:style>
  <w:style w:type="paragraph" w:customStyle="1" w:styleId="TableBodyTextRight">
    <w:name w:val="Table Body Text Right"/>
    <w:basedOn w:val="TableBodyText"/>
    <w:rsid w:val="00DE0AC2"/>
    <w:pPr>
      <w:widowControl w:val="0"/>
      <w:autoSpaceDE w:val="0"/>
      <w:autoSpaceDN w:val="0"/>
      <w:adjustRightInd w:val="0"/>
      <w:jc w:val="right"/>
    </w:pPr>
    <w:rPr>
      <w:rFonts w:cs="Arial"/>
      <w:szCs w:val="18"/>
    </w:rPr>
  </w:style>
  <w:style w:type="paragraph" w:customStyle="1" w:styleId="CopyrightText">
    <w:name w:val="Copyright Text"/>
    <w:basedOn w:val="BodyText"/>
    <w:rsid w:val="00DE0AC2"/>
    <w:rPr>
      <w:sz w:val="18"/>
    </w:rPr>
  </w:style>
  <w:style w:type="paragraph" w:customStyle="1" w:styleId="BodySmallRight">
    <w:name w:val="Body Small Right"/>
    <w:basedOn w:val="BodyTextRight"/>
    <w:rsid w:val="00DE0AC2"/>
    <w:rPr>
      <w:sz w:val="18"/>
      <w:szCs w:val="18"/>
    </w:rPr>
  </w:style>
  <w:style w:type="paragraph" w:customStyle="1" w:styleId="MarginEdition">
    <w:name w:val="Margin Edition"/>
    <w:basedOn w:val="MarginNote"/>
    <w:rsid w:val="00DE0AC2"/>
    <w:pPr>
      <w:spacing w:before="0" w:after="0"/>
    </w:pPr>
    <w:rPr>
      <w:rFonts w:ascii="Times New Roman" w:hAnsi="Times New Roman"/>
      <w:color w:val="999999"/>
    </w:rPr>
  </w:style>
  <w:style w:type="paragraph" w:customStyle="1" w:styleId="Spacer">
    <w:name w:val="Spacer"/>
    <w:basedOn w:val="Normal"/>
    <w:rsid w:val="00DE0AC2"/>
    <w:rPr>
      <w:sz w:val="2"/>
      <w:szCs w:val="2"/>
    </w:rPr>
  </w:style>
  <w:style w:type="character" w:customStyle="1" w:styleId="Small">
    <w:name w:val="Small"/>
    <w:basedOn w:val="DefaultParagraphFont"/>
    <w:rsid w:val="00DE0AC2"/>
    <w:rPr>
      <w:sz w:val="16"/>
    </w:rPr>
  </w:style>
  <w:style w:type="paragraph" w:customStyle="1" w:styleId="WideTable">
    <w:name w:val="Wide Table"/>
    <w:basedOn w:val="Normal"/>
    <w:rsid w:val="00DE0AC2"/>
    <w:pPr>
      <w:ind w:left="-1418"/>
    </w:pPr>
    <w:rPr>
      <w:sz w:val="2"/>
      <w:szCs w:val="2"/>
    </w:rPr>
  </w:style>
  <w:style w:type="character" w:styleId="PageNumber">
    <w:name w:val="page number"/>
    <w:basedOn w:val="DefaultParagraphFont"/>
    <w:rsid w:val="00DE0AC2"/>
  </w:style>
  <w:style w:type="paragraph" w:styleId="Quote">
    <w:name w:val="Quote"/>
    <w:basedOn w:val="Heading1"/>
    <w:link w:val="QuoteChar"/>
    <w:qFormat/>
    <w:rsid w:val="00DE0AC2"/>
    <w:rPr>
      <w:b w:val="0"/>
      <w:sz w:val="72"/>
      <w:szCs w:val="72"/>
      <w:lang w:val="en-NZ"/>
    </w:rPr>
  </w:style>
  <w:style w:type="character" w:customStyle="1" w:styleId="QuoteChar">
    <w:name w:val="Quote Char"/>
    <w:basedOn w:val="DefaultParagraphFont"/>
    <w:link w:val="Quote"/>
    <w:rsid w:val="00DE0A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0AC2"/>
    <w:pPr>
      <w:pageBreakBefore/>
    </w:pPr>
  </w:style>
  <w:style w:type="paragraph" w:customStyle="1" w:styleId="Border">
    <w:name w:val="Border"/>
    <w:basedOn w:val="Normal"/>
    <w:qFormat/>
    <w:rsid w:val="00DE0A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0AC2"/>
    <w:rPr>
      <w:b/>
      <w:bCs/>
      <w:i/>
      <w:iCs/>
      <w:color w:val="auto"/>
    </w:rPr>
  </w:style>
  <w:style w:type="paragraph" w:styleId="IntenseQuote">
    <w:name w:val="Intense Quote"/>
    <w:basedOn w:val="Normal"/>
    <w:next w:val="Normal"/>
    <w:link w:val="IntenseQuoteChar"/>
    <w:uiPriority w:val="30"/>
    <w:qFormat/>
    <w:rsid w:val="00DE0A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0A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0AC2"/>
    <w:rPr>
      <w:smallCaps/>
      <w:color w:val="auto"/>
      <w:u w:val="single"/>
    </w:rPr>
  </w:style>
  <w:style w:type="character" w:styleId="IntenseReference">
    <w:name w:val="Intense Reference"/>
    <w:basedOn w:val="DefaultParagraphFont"/>
    <w:uiPriority w:val="32"/>
    <w:qFormat/>
    <w:rsid w:val="00DE0AC2"/>
    <w:rPr>
      <w:b/>
      <w:bCs/>
      <w:smallCaps/>
      <w:color w:val="auto"/>
      <w:spacing w:val="5"/>
      <w:u w:val="single"/>
    </w:rPr>
  </w:style>
  <w:style w:type="paragraph" w:customStyle="1" w:styleId="2ColumnHeading">
    <w:name w:val="2Column Heading"/>
    <w:basedOn w:val="BodyText"/>
    <w:qFormat/>
    <w:rsid w:val="00DE0AC2"/>
    <w:pPr>
      <w:spacing w:after="60"/>
      <w:ind w:left="-2268"/>
    </w:pPr>
    <w:rPr>
      <w:b/>
    </w:rPr>
  </w:style>
  <w:style w:type="paragraph" w:customStyle="1" w:styleId="Heading1TOC">
    <w:name w:val="Heading1 TOC"/>
    <w:basedOn w:val="Normal"/>
    <w:qFormat/>
    <w:rsid w:val="00DE0AC2"/>
    <w:pPr>
      <w:spacing w:before="240" w:after="120"/>
    </w:pPr>
    <w:rPr>
      <w:rFonts w:ascii="Times New Roman" w:hAnsi="Times New Roman"/>
      <w:b/>
      <w:sz w:val="32"/>
    </w:rPr>
  </w:style>
  <w:style w:type="paragraph" w:customStyle="1" w:styleId="Heading2TOC">
    <w:name w:val="Heading2 TOC"/>
    <w:basedOn w:val="Normal"/>
    <w:qFormat/>
    <w:rsid w:val="00DE0AC2"/>
    <w:pPr>
      <w:spacing w:before="240" w:after="60"/>
    </w:pPr>
    <w:rPr>
      <w:rFonts w:ascii="Times New Roman" w:hAnsi="Times New Roman"/>
      <w:b/>
      <w:sz w:val="28"/>
    </w:rPr>
  </w:style>
  <w:style w:type="character" w:customStyle="1" w:styleId="Underline">
    <w:name w:val="Underline"/>
    <w:basedOn w:val="DefaultParagraphFont"/>
    <w:qFormat/>
    <w:rsid w:val="00DE0AC2"/>
    <w:rPr>
      <w:u w:val="single"/>
    </w:rPr>
  </w:style>
  <w:style w:type="character" w:customStyle="1" w:styleId="BoldandItalics">
    <w:name w:val="Bold and Italics"/>
    <w:qFormat/>
    <w:rsid w:val="00DE0AC2"/>
    <w:rPr>
      <w:b/>
      <w:i/>
      <w:u w:val="none"/>
    </w:rPr>
  </w:style>
  <w:style w:type="paragraph" w:styleId="BalloonText">
    <w:name w:val="Balloon Text"/>
    <w:basedOn w:val="Normal"/>
    <w:link w:val="BalloonTextChar"/>
    <w:rsid w:val="00DE0AC2"/>
    <w:rPr>
      <w:rFonts w:ascii="Tahoma" w:hAnsi="Tahoma" w:cs="Tahoma"/>
      <w:sz w:val="16"/>
      <w:szCs w:val="16"/>
    </w:rPr>
  </w:style>
  <w:style w:type="character" w:customStyle="1" w:styleId="BalloonTextChar">
    <w:name w:val="Balloon Text Char"/>
    <w:basedOn w:val="DefaultParagraphFont"/>
    <w:link w:val="BalloonText"/>
    <w:rsid w:val="00DE0A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0A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0A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0AC2"/>
    <w:rPr>
      <w:b/>
      <w:color w:val="660033"/>
      <w:spacing w:val="0"/>
    </w:rPr>
  </w:style>
  <w:style w:type="paragraph" w:customStyle="1" w:styleId="Nameditemlist">
    <w:name w:val="Named item list"/>
    <w:basedOn w:val="BodyText"/>
    <w:qFormat/>
    <w:rsid w:val="00DE0AC2"/>
    <w:pPr>
      <w:tabs>
        <w:tab w:val="left" w:pos="2835"/>
      </w:tabs>
      <w:ind w:left="2835" w:hanging="2835"/>
    </w:pPr>
  </w:style>
  <w:style w:type="paragraph" w:customStyle="1" w:styleId="BodyTextnopadding">
    <w:name w:val="Body Text no padding"/>
    <w:basedOn w:val="BodyText"/>
    <w:qFormat/>
    <w:rsid w:val="00DE0AC2"/>
    <w:pPr>
      <w:spacing w:before="0" w:after="0"/>
    </w:pPr>
  </w:style>
  <w:style w:type="paragraph" w:customStyle="1" w:styleId="BodyTextBold">
    <w:name w:val="Body Text Bold"/>
    <w:basedOn w:val="BodyText"/>
    <w:qFormat/>
    <w:rsid w:val="00DE0AC2"/>
    <w:rPr>
      <w:b/>
    </w:rPr>
  </w:style>
  <w:style w:type="character" w:styleId="Hyperlink">
    <w:name w:val="Hyperlink"/>
    <w:basedOn w:val="DefaultParagraphFont"/>
    <w:uiPriority w:val="99"/>
    <w:unhideWhenUsed/>
    <w:rsid w:val="00DB54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1597</Words>
  <Characters>10828</Characters>
  <Application>Microsoft Office Word</Application>
  <DocSecurity>0</DocSecurity>
  <Lines>433</Lines>
  <Paragraphs>295</Paragraphs>
  <ScaleCrop>false</ScaleCrop>
  <Company>Author-it Software Corporation Ltd.</Company>
  <LinksUpToDate>false</LinksUpToDate>
  <CharactersWithSpaces>12130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MSFFDT4007 Prepare and present furniture design information</dc:title>
  <dc:subject>Approved</dc:subject>
  <dc:creator>Skills Insight</dc:creator>
  <cp:keywords>Release: 1</cp:keywords>
  <dc:description>Review Date: 12 April 2008</dc:description>
  <cp:lastModifiedBy>HSD_TPCMSd.prod</cp:lastModifiedBy>
  <cp:revision>3</cp:revision>
  <dcterms:created xsi:type="dcterms:W3CDTF">2025-03-01T17:17:00Z</dcterms:created>
  <dcterms:modified xsi:type="dcterms:W3CDTF">2025-03-01T17:17:00Z</dcterms:modified>
</cp:coreProperties>
</file>