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68C5" w:rsidP="001268C5">
      <w:pPr>
        <w:pStyle w:val="Title"/>
      </w:pPr>
      <w:r>
        <w:fldChar w:fldCharType="begin"/>
      </w:r>
      <w:r>
        <w:instrText xml:space="preserve"> TITLE   \* MERGEFORMAT </w:instrText>
      </w:r>
      <w:r>
        <w:fldChar w:fldCharType="separate"/>
      </w:r>
      <w:r>
        <w:t>MSFFDT4005 Construct and evaluate furniture prototypes and samples</w:t>
      </w:r>
      <w:r>
        <w:fldChar w:fldCharType="end"/>
      </w:r>
    </w:p>
    <w:p w:rsidR="001268C5" w:rsidP="001268C5">
      <w:pPr>
        <w:pStyle w:val="Version"/>
        <w:sectPr w:rsidSect="000D0D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0DF9" w:rsidP="000D0DF9">
      <w:pPr>
        <w:pStyle w:val="SuperHeading"/>
      </w:pPr>
      <w:r w:rsidRPr="000D0DF9">
        <w:t>MSFFDT4005 Construct and evaluate furniture prototypes and samples</w:t>
      </w:r>
    </w:p>
    <w:p w:rsidR="00000000" w:rsidRPr="000D0DF9" w:rsidP="000D0DF9">
      <w:pPr>
        <w:pStyle w:val="Heading1"/>
      </w:pPr>
      <w:bookmarkStart w:id="1" w:name="O_631514"/>
      <w:bookmarkEnd w:id="1"/>
      <w:r w:rsidRPr="000D0DF9">
        <w:t>Modification History</w:t>
      </w:r>
    </w:p>
    <w:p w:rsidR="00000000" w:rsidRPr="000D0DF9" w:rsidP="001268C5">
      <w:pPr>
        <w:pStyle w:val="BodyText"/>
      </w:pPr>
      <w:r w:rsidRPr="000D0DF9">
        <w:t>Release 1 - New unit of competency</w:t>
      </w:r>
    </w:p>
    <w:p w:rsidR="00000000" w:rsidRPr="000D0DF9" w:rsidP="000D0DF9">
      <w:pPr>
        <w:pStyle w:val="Heading1"/>
      </w:pPr>
      <w:bookmarkStart w:id="2" w:name="O_631522"/>
      <w:bookmarkEnd w:id="2"/>
      <w:r w:rsidRPr="000D0DF9">
        <w:t>Application</w:t>
      </w:r>
    </w:p>
    <w:p w:rsidR="00000000" w:rsidRPr="000D0DF9" w:rsidP="001268C5">
      <w:pPr>
        <w:pStyle w:val="BodyText"/>
      </w:pPr>
      <w:r w:rsidRPr="000D0DF9">
        <w:t>This unit of competency covers constructing or overseeing the constructi</w:t>
      </w:r>
      <w:r w:rsidRPr="000D0DF9">
        <w:t>on of furniture prototypes and samples in furnishing operations of all sizes. Construction of prototypes and samples can apply to an industry workplace or design studio environment.</w:t>
      </w:r>
    </w:p>
    <w:p w:rsidR="00000000" w:rsidRPr="000D0DF9" w:rsidP="001268C5">
      <w:pPr>
        <w:pStyle w:val="BodyText"/>
      </w:pPr>
      <w:r w:rsidRPr="000D0DF9">
        <w:t>No licensing, legislative or certification requirements apply to this uni</w:t>
      </w:r>
      <w:r w:rsidRPr="000D0DF9">
        <w:t>t at the time of publication.</w:t>
      </w:r>
    </w:p>
    <w:p w:rsidR="00000000" w:rsidRPr="000D0DF9" w:rsidP="000D0DF9">
      <w:pPr>
        <w:pStyle w:val="Heading1"/>
      </w:pPr>
      <w:bookmarkStart w:id="3" w:name="O_631521"/>
      <w:bookmarkEnd w:id="3"/>
      <w:r w:rsidRPr="000D0DF9">
        <w:t>Pre-requisite Unit</w:t>
      </w:r>
    </w:p>
    <w:p w:rsidR="00000000" w:rsidRPr="000D0DF9" w:rsidP="000D0DF9">
      <w:pPr>
        <w:pStyle w:val="Heading1"/>
      </w:pPr>
      <w:bookmarkStart w:id="4" w:name="O_631520"/>
      <w:bookmarkEnd w:id="4"/>
      <w:r w:rsidRPr="000D0DF9">
        <w:t>Competency Field</w:t>
      </w:r>
    </w:p>
    <w:p w:rsidR="00000000" w:rsidRPr="000D0DF9" w:rsidP="000D0DF9">
      <w:pPr>
        <w:pStyle w:val="Heading1"/>
      </w:pPr>
      <w:bookmarkStart w:id="5" w:name="O_631519"/>
      <w:bookmarkEnd w:id="5"/>
      <w:r w:rsidRPr="000D0DF9">
        <w:t>Unit Sector</w:t>
      </w:r>
    </w:p>
    <w:p w:rsidR="00000000" w:rsidRPr="000D0DF9" w:rsidP="001268C5">
      <w:pPr>
        <w:pStyle w:val="BodyText"/>
      </w:pPr>
      <w:r w:rsidRPr="000D0DF9">
        <w:t>Furniture design and technology</w:t>
      </w:r>
    </w:p>
    <w:p w:rsidR="00000000" w:rsidRPr="000D0DF9" w:rsidP="000D0DF9">
      <w:pPr>
        <w:pStyle w:val="Heading1"/>
      </w:pPr>
      <w:bookmarkStart w:id="6" w:name="O_631518"/>
      <w:bookmarkEnd w:id="6"/>
      <w:r w:rsidRPr="000D0DF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D0DF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Per</w:t>
            </w:r>
            <w:r w:rsidRPr="000D0DF9">
              <w:t>formance criteria describe the performance needed to demonstrate achievement of the element.</w:t>
            </w:r>
          </w:p>
        </w:tc>
      </w:tr>
      <w:tr w:rsidTr="000D0DF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1</w:t>
            </w:r>
          </w:p>
        </w:tc>
        <w:tc>
          <w:tcPr>
            <w:tcW w:w="1962" w:type="dxa"/>
            <w:vMerge w:val="restart"/>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Plan for production</w:t>
            </w:r>
          </w:p>
        </w:tc>
        <w:tc>
          <w:tcPr>
            <w:tcW w:w="77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1.1</w:t>
            </w:r>
          </w:p>
        </w:tc>
        <w:tc>
          <w:tcPr>
            <w:tcW w:w="561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Applicable work health and safety (WHS), legislative and organisational requirements relevant to constructing prototypes and samples are verified and complied with</w:t>
            </w:r>
          </w:p>
        </w:tc>
      </w:tr>
      <w:tr w:rsidTr="000D0D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1.2</w:t>
            </w:r>
          </w:p>
        </w:tc>
        <w:tc>
          <w:tcPr>
            <w:tcW w:w="561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Design brief is reviewed, confirmed and clarified with appropriate personnel</w:t>
            </w:r>
          </w:p>
        </w:tc>
      </w:tr>
      <w:tr w:rsidTr="000D0D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1.3</w:t>
            </w:r>
          </w:p>
        </w:tc>
        <w:tc>
          <w:tcPr>
            <w:tcW w:w="561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Type and quantity of material to be used is acquired from the storage location</w:t>
            </w:r>
          </w:p>
        </w:tc>
      </w:tr>
      <w:tr w:rsidTr="000D0D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1.4</w:t>
            </w:r>
          </w:p>
        </w:tc>
        <w:tc>
          <w:tcPr>
            <w:tcW w:w="561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Equipment is selected appropriate to work requirements and checked for operational effectiveness in accordance with manufacturer recommendation</w:t>
            </w:r>
          </w:p>
        </w:tc>
      </w:tr>
      <w:tr w:rsidTr="000D0D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1.5</w:t>
            </w:r>
          </w:p>
        </w:tc>
        <w:tc>
          <w:tcPr>
            <w:tcW w:w="561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 xml:space="preserve">Communication with </w:t>
            </w:r>
            <w:r w:rsidRPr="000D0DF9">
              <w:t>others is established and maintained in accordance with WHS requirements</w:t>
            </w:r>
          </w:p>
        </w:tc>
      </w:tr>
      <w:tr w:rsidTr="000D0DF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2</w:t>
            </w:r>
          </w:p>
        </w:tc>
        <w:tc>
          <w:tcPr>
            <w:tcW w:w="1962" w:type="dxa"/>
            <w:vMerge w:val="restart"/>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Plan for production</w:t>
            </w:r>
          </w:p>
        </w:tc>
        <w:tc>
          <w:tcPr>
            <w:tcW w:w="77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2.1</w:t>
            </w:r>
          </w:p>
        </w:tc>
        <w:tc>
          <w:tcPr>
            <w:tcW w:w="561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Manufacturing process is planned and organised</w:t>
            </w:r>
          </w:p>
        </w:tc>
      </w:tr>
      <w:tr w:rsidTr="000D0D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2.2</w:t>
            </w:r>
          </w:p>
        </w:tc>
        <w:tc>
          <w:tcPr>
            <w:tcW w:w="561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Material is allocated in accordance with the manufacturing plan and safe working procedures</w:t>
            </w:r>
          </w:p>
        </w:tc>
      </w:tr>
      <w:tr w:rsidTr="000D0D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2.3</w:t>
            </w:r>
          </w:p>
        </w:tc>
        <w:tc>
          <w:tcPr>
            <w:tcW w:w="561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 xml:space="preserve">Components are selected </w:t>
            </w:r>
          </w:p>
        </w:tc>
      </w:tr>
      <w:tr w:rsidTr="000D0D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2.4</w:t>
            </w:r>
          </w:p>
        </w:tc>
        <w:tc>
          <w:tcPr>
            <w:tcW w:w="561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Assembly methods are researched and planned</w:t>
            </w:r>
          </w:p>
        </w:tc>
      </w:tr>
      <w:tr w:rsidTr="000D0D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2.5</w:t>
            </w:r>
          </w:p>
        </w:tc>
        <w:tc>
          <w:tcPr>
            <w:tcW w:w="561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Components are assembled in accordance with the sketches and freehand development drawings</w:t>
            </w:r>
          </w:p>
        </w:tc>
      </w:tr>
      <w:tr w:rsidTr="000D0D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2.6</w:t>
            </w:r>
          </w:p>
        </w:tc>
        <w:tc>
          <w:tcPr>
            <w:tcW w:w="561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Prototype or sample is finished according to draft specifications</w:t>
            </w:r>
          </w:p>
        </w:tc>
      </w:tr>
      <w:tr w:rsidTr="000D0DF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3</w:t>
            </w:r>
          </w:p>
        </w:tc>
        <w:tc>
          <w:tcPr>
            <w:tcW w:w="1962" w:type="dxa"/>
            <w:vMerge w:val="restart"/>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Evaluate prototype or sample</w:t>
            </w:r>
          </w:p>
        </w:tc>
        <w:tc>
          <w:tcPr>
            <w:tcW w:w="77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3.1</w:t>
            </w:r>
          </w:p>
        </w:tc>
        <w:tc>
          <w:tcPr>
            <w:tcW w:w="561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Prototype or sample is evaluated for functionality and aesthetic appeal</w:t>
            </w:r>
          </w:p>
        </w:tc>
      </w:tr>
      <w:tr w:rsidTr="000D0D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3.2</w:t>
            </w:r>
          </w:p>
        </w:tc>
        <w:tc>
          <w:tcPr>
            <w:tcW w:w="561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Prototype or sample is assessed for their elements of design</w:t>
            </w:r>
          </w:p>
        </w:tc>
      </w:tr>
      <w:tr w:rsidTr="000D0D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3.3</w:t>
            </w:r>
          </w:p>
        </w:tc>
        <w:tc>
          <w:tcPr>
            <w:tcW w:w="561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Prototype or sample is assessed for their principles of design</w:t>
            </w:r>
          </w:p>
        </w:tc>
      </w:tr>
      <w:tr w:rsidTr="000D0D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3.4</w:t>
            </w:r>
          </w:p>
        </w:tc>
        <w:tc>
          <w:tcPr>
            <w:tcW w:w="561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Prototype or sample is analysed against design brief requirements</w:t>
            </w:r>
          </w:p>
        </w:tc>
      </w:tr>
      <w:tr w:rsidTr="000D0D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3.5</w:t>
            </w:r>
          </w:p>
        </w:tc>
        <w:tc>
          <w:tcPr>
            <w:tcW w:w="561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Prototype or sample is reviewed with client or test client</w:t>
            </w:r>
          </w:p>
        </w:tc>
      </w:tr>
      <w:tr w:rsidTr="000D0D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3.6</w:t>
            </w:r>
          </w:p>
        </w:tc>
        <w:tc>
          <w:tcPr>
            <w:tcW w:w="561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Modifications to the prototype or sample are explored to satisfy the requirements of the design brief</w:t>
            </w:r>
          </w:p>
        </w:tc>
      </w:tr>
      <w:tr w:rsidTr="000D0DF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3.7</w:t>
            </w:r>
          </w:p>
        </w:tc>
        <w:tc>
          <w:tcPr>
            <w:tcW w:w="5610" w:type="dxa"/>
            <w:tcBorders>
              <w:top w:val="nil"/>
              <w:left w:val="nil"/>
              <w:bottom w:val="nil"/>
              <w:right w:val="nil"/>
            </w:tcBorders>
            <w:tcMar>
              <w:top w:w="0" w:type="dxa"/>
              <w:left w:w="62" w:type="dxa"/>
              <w:bottom w:w="0" w:type="dxa"/>
              <w:right w:w="62" w:type="dxa"/>
            </w:tcMar>
          </w:tcPr>
          <w:p w:rsidR="00000000" w:rsidRPr="000D0DF9" w:rsidP="000D0DF9">
            <w:pPr>
              <w:pStyle w:val="BodyText"/>
            </w:pPr>
            <w:r w:rsidRPr="000D0DF9">
              <w:t>Prototype or sample production process faults are recorded and reported to the appropriate personnel</w:t>
            </w:r>
          </w:p>
        </w:tc>
      </w:tr>
    </w:tbl>
    <w:p w:rsidR="001268C5" w:rsidP="000D0DF9">
      <w:pPr>
        <w:pStyle w:val="BodyText"/>
      </w:pPr>
    </w:p>
    <w:p w:rsidR="001268C5" w:rsidP="000D0DF9">
      <w:pPr>
        <w:pStyle w:val="BodyText"/>
      </w:pPr>
    </w:p>
    <w:p w:rsidR="00000000" w:rsidRPr="000D0DF9" w:rsidP="000D0DF9">
      <w:pPr>
        <w:pStyle w:val="Heading1"/>
      </w:pPr>
      <w:bookmarkStart w:id="7" w:name="O_631517"/>
      <w:bookmarkEnd w:id="7"/>
      <w:r w:rsidRPr="000D0DF9">
        <w:t>Foundation Skills</w:t>
      </w:r>
    </w:p>
    <w:p w:rsidR="001268C5" w:rsidP="001268C5">
      <w:pPr>
        <w:pStyle w:val="BodyText"/>
      </w:pPr>
      <w:r w:rsidRPr="000D0DF9">
        <w:t>Foundation skills essential to performance are explicit in the performance criteria of this unit of competency. Detai</w:t>
      </w:r>
      <w:r w:rsidRPr="000D0DF9">
        <w:t xml:space="preserve">l on appropriate performance levels for each furnishing unit of competency in reading, writing, oral communication and numeracy utilising the Australian Core Skills Framework (ACSF) are provided in the Furnishing Training Package Implementation Guide. </w:t>
      </w:r>
    </w:p>
    <w:p w:rsidR="00000000" w:rsidRPr="000D0DF9" w:rsidP="000D0DF9">
      <w:pPr>
        <w:pStyle w:val="Heading1"/>
      </w:pPr>
      <w:bookmarkStart w:id="8" w:name="O_631516"/>
      <w:bookmarkEnd w:id="8"/>
      <w:r w:rsidRPr="000D0DF9">
        <w:t>Range of Conditions</w:t>
      </w:r>
    </w:p>
    <w:tbl>
      <w:tblPr>
        <w:tblW w:w="0" w:type="auto"/>
        <w:tblLayout w:type="fixed"/>
        <w:tblCellMar>
          <w:left w:w="62" w:type="dxa"/>
          <w:right w:w="62" w:type="dxa"/>
        </w:tblCellMar>
        <w:tblLook w:val="0000"/>
      </w:tblPr>
      <w:tblGrid>
        <w:gridCol w:w="2760"/>
        <w:gridCol w:w="6312"/>
      </w:tblGrid>
      <w:tr w:rsidTr="000D0D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t>Specifies different work environments and conditions that may affect performance. Essential operating conditions that may be present (depending on the work situation, needs of the candidate, accessibility of the item, an</w:t>
            </w:r>
            <w:r w:rsidRPr="000D0DF9">
              <w:t>d local industry and regional contexts) are included. Range is restricted to essential operating conditions and any other variables essential to the work environment.</w:t>
            </w:r>
          </w:p>
        </w:tc>
      </w:tr>
      <w:tr w:rsidTr="000D0D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D0DF9" w:rsidP="000D0DF9">
            <w:pPr>
              <w:pStyle w:val="ListBullet"/>
            </w:pPr>
            <w:r w:rsidRPr="000D0DF9">
              <w:t>WHS requirements, including legislation, building codes, materi</w:t>
            </w:r>
            <w:r w:rsidRPr="000D0DF9">
              <w:t xml:space="preserve">al safety management systems, hazardous and dangerous goods codes, and local safe operating procedures or equivalent </w:t>
            </w:r>
          </w:p>
          <w:p w:rsidR="00000000" w:rsidRPr="000D0DF9" w:rsidP="000D0DF9">
            <w:pPr>
              <w:pStyle w:val="ListBullet"/>
            </w:pPr>
            <w:r w:rsidRPr="000D0DF9">
              <w:t>work is carried out in accordance with legislative obligations, environmental legislation, relevant health regulations, manual handling pr</w:t>
            </w:r>
            <w:r w:rsidRPr="000D0DF9">
              <w:t xml:space="preserve">ocedures and organisation insurance requirements </w:t>
            </w:r>
          </w:p>
          <w:p w:rsidR="00000000" w:rsidRPr="000D0DF9" w:rsidP="000D0DF9">
            <w:pPr>
              <w:pStyle w:val="ListBullet"/>
            </w:pPr>
            <w:r w:rsidRPr="000D0DF9">
              <w:t xml:space="preserve">work requires individuals to demonstrate conceptual and analytical ability, discretion, judgement and problem solving </w:t>
            </w:r>
          </w:p>
          <w:p w:rsidR="00000000" w:rsidP="000D0DF9">
            <w:pPr>
              <w:pStyle w:val="ListBullet"/>
              <w:rPr>
                <w:lang w:val="en-NZ"/>
              </w:rPr>
            </w:pPr>
            <w:r w:rsidRPr="000D0DF9">
              <w:t>customers or suppliers may be internal or external</w:t>
            </w:r>
          </w:p>
        </w:tc>
      </w:tr>
      <w:tr w:rsidTr="000D0D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0D0DF9" w:rsidP="000D0DF9">
            <w:pPr>
              <w:pStyle w:val="ListBullet"/>
            </w:pPr>
            <w:r w:rsidRPr="000D0DF9">
              <w:t xml:space="preserve">the aims, objectives, milestones for the design project </w:t>
            </w:r>
          </w:p>
          <w:p w:rsidR="00000000" w:rsidRPr="000D0DF9" w:rsidP="000D0DF9">
            <w:pPr>
              <w:pStyle w:val="ListBullet"/>
            </w:pPr>
            <w:r w:rsidRPr="000D0DF9">
              <w:t xml:space="preserve">organisational or personal profiles </w:t>
            </w:r>
          </w:p>
          <w:p w:rsidR="00000000" w:rsidRPr="000D0DF9" w:rsidP="000D0DF9">
            <w:pPr>
              <w:pStyle w:val="ListBullet"/>
            </w:pPr>
            <w:r w:rsidRPr="000D0DF9">
              <w:t xml:space="preserve">target audience </w:t>
            </w:r>
          </w:p>
          <w:p w:rsidR="00000000" w:rsidRPr="000D0DF9" w:rsidP="000D0DF9">
            <w:pPr>
              <w:pStyle w:val="ListBullet"/>
            </w:pPr>
            <w:r w:rsidRPr="000D0DF9">
              <w:t xml:space="preserve">budget </w:t>
            </w:r>
          </w:p>
          <w:p w:rsidR="00000000" w:rsidRPr="000D0DF9" w:rsidP="000D0DF9">
            <w:pPr>
              <w:pStyle w:val="ListBullet"/>
            </w:pPr>
            <w:r w:rsidRPr="000D0DF9">
              <w:t>timeline</w:t>
            </w:r>
          </w:p>
          <w:p w:rsidR="00000000" w:rsidRPr="000D0DF9" w:rsidP="000D0DF9">
            <w:pPr>
              <w:pStyle w:val="ListBullet"/>
            </w:pPr>
            <w:r w:rsidRPr="000D0DF9">
              <w:t>consultation requirements</w:t>
            </w:r>
          </w:p>
          <w:p w:rsidR="00000000" w:rsidRPr="000D0DF9" w:rsidP="000D0DF9">
            <w:pPr>
              <w:pStyle w:val="ListBullet"/>
            </w:pPr>
            <w:r w:rsidRPr="000D0DF9">
              <w:t xml:space="preserve">colour requirements </w:t>
            </w:r>
          </w:p>
          <w:p w:rsidR="00000000" w:rsidRPr="000D0DF9" w:rsidP="000D0DF9">
            <w:pPr>
              <w:pStyle w:val="ListBullet"/>
            </w:pPr>
            <w:r w:rsidRPr="000D0DF9">
              <w:t xml:space="preserve">image requirements </w:t>
            </w:r>
          </w:p>
          <w:p w:rsidR="00000000" w:rsidP="000D0DF9">
            <w:pPr>
              <w:pStyle w:val="ListBullet"/>
              <w:rPr>
                <w:lang w:val="en-NZ"/>
              </w:rPr>
            </w:pPr>
            <w:r w:rsidRPr="000D0DF9">
              <w:t>function</w:t>
            </w:r>
          </w:p>
        </w:tc>
      </w:tr>
      <w:tr w:rsidTr="000D0D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0D0DF9" w:rsidP="000D0DF9">
            <w:pPr>
              <w:pStyle w:val="ListBullet"/>
            </w:pPr>
            <w:r w:rsidRPr="000D0DF9">
              <w:t xml:space="preserve">trainers </w:t>
            </w:r>
          </w:p>
          <w:p w:rsidR="00000000" w:rsidRPr="000D0DF9" w:rsidP="000D0DF9">
            <w:pPr>
              <w:pStyle w:val="ListBullet"/>
            </w:pPr>
            <w:r w:rsidRPr="000D0DF9">
              <w:t>superviso</w:t>
            </w:r>
            <w:r w:rsidRPr="000D0DF9">
              <w:t>rs</w:t>
            </w:r>
          </w:p>
          <w:p w:rsidR="00000000" w:rsidRPr="000D0DF9" w:rsidP="000D0DF9">
            <w:pPr>
              <w:pStyle w:val="ListBullet"/>
            </w:pPr>
            <w:r w:rsidRPr="000D0DF9">
              <w:t>suppliers</w:t>
            </w:r>
          </w:p>
          <w:p w:rsidR="00000000" w:rsidRPr="000D0DF9" w:rsidP="000D0DF9">
            <w:pPr>
              <w:pStyle w:val="ListBullet"/>
            </w:pPr>
            <w:r w:rsidRPr="000D0DF9">
              <w:t xml:space="preserve">clients </w:t>
            </w:r>
          </w:p>
          <w:p w:rsidR="00000000" w:rsidRPr="000D0DF9" w:rsidP="000D0DF9">
            <w:pPr>
              <w:pStyle w:val="ListBullet"/>
            </w:pPr>
            <w:r w:rsidRPr="000D0DF9">
              <w:t xml:space="preserve">colleagues </w:t>
            </w:r>
          </w:p>
          <w:p w:rsidR="00000000" w:rsidP="000D0DF9">
            <w:pPr>
              <w:pStyle w:val="ListBullet"/>
              <w:rPr>
                <w:lang w:val="en-NZ"/>
              </w:rPr>
            </w:pPr>
            <w:r w:rsidRPr="000D0DF9">
              <w:t>managers</w:t>
            </w:r>
          </w:p>
        </w:tc>
      </w:tr>
      <w:tr w:rsidTr="000D0D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0D0DF9" w:rsidP="000D0DF9">
            <w:pPr>
              <w:pStyle w:val="ListBullet"/>
            </w:pPr>
            <w:r w:rsidRPr="000D0DF9">
              <w:t xml:space="preserve">scrap timber </w:t>
            </w:r>
          </w:p>
          <w:p w:rsidR="00000000" w:rsidRPr="000D0DF9" w:rsidP="000D0DF9">
            <w:pPr>
              <w:pStyle w:val="ListBullet"/>
            </w:pPr>
            <w:r w:rsidRPr="000D0DF9">
              <w:t xml:space="preserve">man-made timber products </w:t>
            </w:r>
          </w:p>
          <w:p w:rsidR="00000000" w:rsidRPr="000D0DF9" w:rsidP="000D0DF9">
            <w:pPr>
              <w:pStyle w:val="ListBullet"/>
            </w:pPr>
            <w:r w:rsidRPr="000D0DF9">
              <w:t>plastic</w:t>
            </w:r>
          </w:p>
          <w:p w:rsidR="00000000" w:rsidRPr="000D0DF9" w:rsidP="000D0DF9">
            <w:pPr>
              <w:pStyle w:val="ListBullet"/>
            </w:pPr>
            <w:r w:rsidRPr="000D0DF9">
              <w:t>metal</w:t>
            </w:r>
          </w:p>
          <w:p w:rsidR="00000000" w:rsidRPr="000D0DF9" w:rsidP="000D0DF9">
            <w:pPr>
              <w:pStyle w:val="ListBullet"/>
            </w:pPr>
            <w:r w:rsidRPr="000D0DF9">
              <w:t>alloys</w:t>
            </w:r>
          </w:p>
          <w:p w:rsidR="00000000" w:rsidRPr="000D0DF9" w:rsidP="000D0DF9">
            <w:pPr>
              <w:pStyle w:val="ListBullet"/>
            </w:pPr>
            <w:r w:rsidRPr="000D0DF9">
              <w:t xml:space="preserve">stone </w:t>
            </w:r>
          </w:p>
          <w:p w:rsidR="00000000" w:rsidRPr="000D0DF9" w:rsidP="000D0DF9">
            <w:pPr>
              <w:pStyle w:val="ListBullet"/>
            </w:pPr>
            <w:r w:rsidRPr="000D0DF9">
              <w:t>glass</w:t>
            </w:r>
          </w:p>
          <w:p w:rsidR="00000000" w:rsidRPr="000D0DF9" w:rsidP="000D0DF9">
            <w:pPr>
              <w:pStyle w:val="ListBullet"/>
            </w:pPr>
            <w:r w:rsidRPr="000D0DF9">
              <w:t>textiles</w:t>
            </w:r>
          </w:p>
          <w:p w:rsidR="00000000" w:rsidRPr="000D0DF9" w:rsidP="000D0DF9">
            <w:pPr>
              <w:pStyle w:val="ListBullet"/>
            </w:pPr>
            <w:r w:rsidRPr="000D0DF9">
              <w:t xml:space="preserve">fibreglass </w:t>
            </w:r>
          </w:p>
          <w:p w:rsidR="00000000" w:rsidRPr="000D0DF9" w:rsidP="000D0DF9">
            <w:pPr>
              <w:pStyle w:val="ListBullet"/>
            </w:pPr>
            <w:r w:rsidRPr="000D0DF9">
              <w:t>foam</w:t>
            </w:r>
          </w:p>
          <w:p w:rsidR="00000000" w:rsidRPr="000D0DF9" w:rsidP="000D0DF9">
            <w:pPr>
              <w:pStyle w:val="ListBullet"/>
            </w:pPr>
            <w:r w:rsidRPr="000D0DF9">
              <w:t xml:space="preserve">cardboard </w:t>
            </w:r>
          </w:p>
          <w:p w:rsidR="00000000" w:rsidRPr="000D0DF9" w:rsidP="000D0DF9">
            <w:pPr>
              <w:pStyle w:val="ListBullet"/>
            </w:pPr>
            <w:r w:rsidRPr="000D0DF9">
              <w:t xml:space="preserve">paper products </w:t>
            </w:r>
          </w:p>
          <w:p w:rsidR="00000000" w:rsidP="000D0DF9">
            <w:pPr>
              <w:pStyle w:val="ListBullet"/>
              <w:rPr>
                <w:lang w:val="en-NZ"/>
              </w:rPr>
            </w:pPr>
            <w:r w:rsidRPr="000D0DF9">
              <w:t>any other manipulable substance</w:t>
            </w:r>
          </w:p>
        </w:tc>
      </w:tr>
      <w:tr w:rsidTr="000D0D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rPr>
                <w:rStyle w:val="SpecialBold"/>
              </w:rPr>
              <w:t>Storage locations include:</w:t>
            </w:r>
          </w:p>
        </w:tc>
        <w:tc>
          <w:tcPr>
            <w:tcW w:w="6312" w:type="dxa"/>
            <w:tcBorders>
              <w:top w:val="nil"/>
              <w:left w:val="nil"/>
              <w:bottom w:val="nil"/>
              <w:right w:val="nil"/>
            </w:tcBorders>
            <w:tcMar>
              <w:top w:w="0" w:type="dxa"/>
              <w:left w:w="62" w:type="dxa"/>
              <w:bottom w:w="0" w:type="dxa"/>
              <w:right w:w="62" w:type="dxa"/>
            </w:tcMar>
          </w:tcPr>
          <w:p w:rsidR="00000000" w:rsidRPr="000D0DF9" w:rsidP="000D0DF9">
            <w:pPr>
              <w:pStyle w:val="ListBullet"/>
            </w:pPr>
            <w:r w:rsidRPr="000D0DF9">
              <w:t xml:space="preserve">storage racks </w:t>
            </w:r>
          </w:p>
          <w:p w:rsidR="00000000" w:rsidRPr="000D0DF9" w:rsidP="000D0DF9">
            <w:pPr>
              <w:pStyle w:val="ListBullet"/>
            </w:pPr>
            <w:r w:rsidRPr="000D0DF9">
              <w:t xml:space="preserve">storage bays </w:t>
            </w:r>
          </w:p>
          <w:p w:rsidR="00000000" w:rsidRPr="000D0DF9" w:rsidP="000D0DF9">
            <w:pPr>
              <w:pStyle w:val="ListBullet"/>
            </w:pPr>
            <w:r w:rsidRPr="000D0DF9">
              <w:t>bins</w:t>
            </w:r>
          </w:p>
          <w:p w:rsidR="00000000" w:rsidRPr="000D0DF9" w:rsidP="000D0DF9">
            <w:pPr>
              <w:pStyle w:val="ListBullet"/>
            </w:pPr>
            <w:r w:rsidRPr="000D0DF9">
              <w:t>stacks</w:t>
            </w:r>
          </w:p>
          <w:p w:rsidR="00000000" w:rsidRPr="000D0DF9" w:rsidP="000D0DF9">
            <w:pPr>
              <w:pStyle w:val="ListBullet"/>
            </w:pPr>
            <w:r w:rsidRPr="000D0DF9">
              <w:t>pallet boxes</w:t>
            </w:r>
          </w:p>
          <w:p w:rsidR="00000000" w:rsidRPr="000D0DF9" w:rsidP="000D0DF9">
            <w:pPr>
              <w:pStyle w:val="ListBullet"/>
            </w:pPr>
            <w:r w:rsidRPr="000D0DF9">
              <w:t xml:space="preserve">modularised storage components </w:t>
            </w:r>
          </w:p>
          <w:p w:rsidR="00000000" w:rsidP="000D0DF9">
            <w:pPr>
              <w:pStyle w:val="ListBullet"/>
              <w:rPr>
                <w:lang w:val="en-NZ"/>
              </w:rPr>
            </w:pPr>
            <w:r w:rsidRPr="000D0DF9">
              <w:t xml:space="preserve">temporary stacking bays (stand, frame or ground) </w:t>
            </w:r>
          </w:p>
        </w:tc>
      </w:tr>
      <w:tr w:rsidTr="000D0D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rPr>
                <w:rStyle w:val="SpecialBold"/>
              </w:rPr>
              <w:t>Divisions in storage includes:</w:t>
            </w:r>
          </w:p>
        </w:tc>
        <w:tc>
          <w:tcPr>
            <w:tcW w:w="6312" w:type="dxa"/>
            <w:tcBorders>
              <w:top w:val="nil"/>
              <w:left w:val="nil"/>
              <w:bottom w:val="nil"/>
              <w:right w:val="nil"/>
            </w:tcBorders>
            <w:tcMar>
              <w:top w:w="0" w:type="dxa"/>
              <w:left w:w="62" w:type="dxa"/>
              <w:bottom w:w="0" w:type="dxa"/>
              <w:right w:w="62" w:type="dxa"/>
            </w:tcMar>
          </w:tcPr>
          <w:p w:rsidR="00000000" w:rsidRPr="000D0DF9" w:rsidP="000D0DF9">
            <w:pPr>
              <w:pStyle w:val="ListBullet"/>
            </w:pPr>
            <w:r w:rsidRPr="000D0DF9">
              <w:t xml:space="preserve">standard product classification </w:t>
            </w:r>
          </w:p>
          <w:p w:rsidR="00000000" w:rsidRPr="000D0DF9" w:rsidP="000D0DF9">
            <w:pPr>
              <w:pStyle w:val="ListBullet"/>
            </w:pPr>
            <w:r w:rsidRPr="000D0DF9">
              <w:t xml:space="preserve">product designation </w:t>
            </w:r>
          </w:p>
          <w:p w:rsidR="00000000" w:rsidRPr="000D0DF9" w:rsidP="000D0DF9">
            <w:pPr>
              <w:pStyle w:val="ListBullet"/>
            </w:pPr>
            <w:r w:rsidRPr="000D0DF9">
              <w:t>size</w:t>
            </w:r>
          </w:p>
          <w:p w:rsidR="00000000" w:rsidRPr="000D0DF9" w:rsidP="000D0DF9">
            <w:pPr>
              <w:pStyle w:val="ListBullet"/>
            </w:pPr>
            <w:r w:rsidRPr="000D0DF9">
              <w:t>dimension</w:t>
            </w:r>
          </w:p>
          <w:p w:rsidR="00000000" w:rsidRPr="000D0DF9" w:rsidP="000D0DF9">
            <w:pPr>
              <w:pStyle w:val="ListBullet"/>
            </w:pPr>
            <w:r w:rsidRPr="000D0DF9">
              <w:t>stack number</w:t>
            </w:r>
          </w:p>
          <w:p w:rsidR="00000000" w:rsidRPr="000D0DF9" w:rsidP="000D0DF9">
            <w:pPr>
              <w:pStyle w:val="ListBullet"/>
            </w:pPr>
            <w:r w:rsidRPr="000D0DF9">
              <w:t>weight</w:t>
            </w:r>
          </w:p>
          <w:p w:rsidR="00000000" w:rsidRPr="000D0DF9" w:rsidP="000D0DF9">
            <w:pPr>
              <w:pStyle w:val="ListBullet"/>
            </w:pPr>
            <w:r w:rsidRPr="000D0DF9">
              <w:t>grade</w:t>
            </w:r>
          </w:p>
          <w:p w:rsidR="00000000" w:rsidRPr="000D0DF9" w:rsidP="000D0DF9">
            <w:pPr>
              <w:pStyle w:val="ListBullet"/>
            </w:pPr>
            <w:r w:rsidRPr="000D0DF9">
              <w:t xml:space="preserve">shelf life </w:t>
            </w:r>
          </w:p>
          <w:p w:rsidR="00000000" w:rsidP="000D0DF9">
            <w:pPr>
              <w:pStyle w:val="ListBullet"/>
              <w:rPr>
                <w:lang w:val="en-NZ"/>
              </w:rPr>
            </w:pPr>
            <w:r w:rsidRPr="000D0DF9">
              <w:t>stock rotation position</w:t>
            </w:r>
          </w:p>
        </w:tc>
      </w:tr>
      <w:tr w:rsidTr="000D0D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rPr>
                <w:rStyle w:val="SpecialBold"/>
              </w:rPr>
              <w:t>Equipment includes:</w:t>
            </w:r>
          </w:p>
        </w:tc>
        <w:tc>
          <w:tcPr>
            <w:tcW w:w="6312" w:type="dxa"/>
            <w:tcBorders>
              <w:top w:val="nil"/>
              <w:left w:val="nil"/>
              <w:bottom w:val="nil"/>
              <w:right w:val="nil"/>
            </w:tcBorders>
            <w:tcMar>
              <w:top w:w="0" w:type="dxa"/>
              <w:left w:w="62" w:type="dxa"/>
              <w:bottom w:w="0" w:type="dxa"/>
              <w:right w:w="62" w:type="dxa"/>
            </w:tcMar>
          </w:tcPr>
          <w:p w:rsidR="00000000" w:rsidRPr="000D0DF9" w:rsidP="000D0DF9">
            <w:pPr>
              <w:pStyle w:val="ListBullet"/>
            </w:pPr>
            <w:r w:rsidRPr="000D0DF9">
              <w:t>static machinery</w:t>
            </w:r>
          </w:p>
          <w:p w:rsidR="00000000" w:rsidRPr="000D0DF9" w:rsidP="000D0DF9">
            <w:pPr>
              <w:pStyle w:val="ListBullet"/>
            </w:pPr>
            <w:r w:rsidRPr="000D0DF9">
              <w:t xml:space="preserve">portable power tools </w:t>
            </w:r>
          </w:p>
          <w:p w:rsidR="00000000" w:rsidRPr="000D0DF9" w:rsidP="000D0DF9">
            <w:pPr>
              <w:pStyle w:val="ListBullet"/>
            </w:pPr>
            <w:r w:rsidRPr="000D0DF9">
              <w:t>computer numerically controlled (CNC) equipment</w:t>
            </w:r>
          </w:p>
          <w:p w:rsidR="00000000" w:rsidP="000D0DF9">
            <w:pPr>
              <w:pStyle w:val="ListBullet"/>
              <w:rPr>
                <w:lang w:val="en-NZ"/>
              </w:rPr>
            </w:pPr>
            <w:r w:rsidRPr="000D0DF9">
              <w:t>and is to include procedures for lock out protecting operators and co-workers from accidental inju</w:t>
            </w:r>
            <w:r w:rsidRPr="000D0DF9">
              <w:t>ry by isolating the machine from the power source</w:t>
            </w:r>
          </w:p>
        </w:tc>
      </w:tr>
      <w:tr w:rsidTr="000D0D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rPr>
                <w:rStyle w:val="SpecialBold"/>
              </w:rPr>
              <w:t>Manufacturing processes include:</w:t>
            </w:r>
          </w:p>
        </w:tc>
        <w:tc>
          <w:tcPr>
            <w:tcW w:w="6312" w:type="dxa"/>
            <w:tcBorders>
              <w:top w:val="nil"/>
              <w:left w:val="nil"/>
              <w:bottom w:val="nil"/>
              <w:right w:val="nil"/>
            </w:tcBorders>
            <w:tcMar>
              <w:top w:w="0" w:type="dxa"/>
              <w:left w:w="62" w:type="dxa"/>
              <w:bottom w:w="0" w:type="dxa"/>
              <w:right w:w="62" w:type="dxa"/>
            </w:tcMar>
          </w:tcPr>
          <w:p w:rsidR="00000000" w:rsidP="000D0DF9">
            <w:pPr>
              <w:pStyle w:val="ListBullet"/>
              <w:rPr>
                <w:lang w:val="en-NZ"/>
              </w:rPr>
            </w:pPr>
            <w:r w:rsidRPr="000D0DF9">
              <w:t xml:space="preserve">methods by which the product will be produced entailing working drawings and specifications, producing components utilising machine operations, assembly of the components </w:t>
            </w:r>
            <w:r w:rsidRPr="000D0DF9">
              <w:t>and finishing techniques</w:t>
            </w:r>
          </w:p>
        </w:tc>
      </w:tr>
      <w:tr w:rsidTr="000D0D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rPr>
                <w:rStyle w:val="SpecialBold"/>
              </w:rPr>
              <w:t>Components include:</w:t>
            </w:r>
          </w:p>
        </w:tc>
        <w:tc>
          <w:tcPr>
            <w:tcW w:w="6312" w:type="dxa"/>
            <w:tcBorders>
              <w:top w:val="nil"/>
              <w:left w:val="nil"/>
              <w:bottom w:val="nil"/>
              <w:right w:val="nil"/>
            </w:tcBorders>
            <w:tcMar>
              <w:top w:w="0" w:type="dxa"/>
              <w:left w:w="62" w:type="dxa"/>
              <w:bottom w:w="0" w:type="dxa"/>
              <w:right w:w="62" w:type="dxa"/>
            </w:tcMar>
          </w:tcPr>
          <w:p w:rsidR="00000000" w:rsidP="000D0DF9">
            <w:pPr>
              <w:pStyle w:val="ListBullet"/>
              <w:rPr>
                <w:lang w:val="en-NZ"/>
              </w:rPr>
            </w:pPr>
            <w:r w:rsidRPr="000D0DF9">
              <w:t>parts which make up the whole of a product (each component often requires some level of machining to result in the desire part)</w:t>
            </w:r>
          </w:p>
        </w:tc>
      </w:tr>
      <w:tr w:rsidTr="000D0D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rPr>
                <w:rStyle w:val="SpecialBold"/>
              </w:rPr>
              <w:t>Assembly processes include:</w:t>
            </w:r>
          </w:p>
        </w:tc>
        <w:tc>
          <w:tcPr>
            <w:tcW w:w="6312" w:type="dxa"/>
            <w:tcBorders>
              <w:top w:val="nil"/>
              <w:left w:val="nil"/>
              <w:bottom w:val="nil"/>
              <w:right w:val="nil"/>
            </w:tcBorders>
            <w:tcMar>
              <w:top w:w="0" w:type="dxa"/>
              <w:left w:w="62" w:type="dxa"/>
              <w:bottom w:w="0" w:type="dxa"/>
              <w:right w:w="62" w:type="dxa"/>
            </w:tcMar>
          </w:tcPr>
          <w:p w:rsidR="00000000" w:rsidRPr="000D0DF9" w:rsidP="000D0DF9">
            <w:pPr>
              <w:pStyle w:val="ListBullet"/>
            </w:pPr>
            <w:r w:rsidRPr="000D0DF9">
              <w:t>nailing</w:t>
            </w:r>
          </w:p>
          <w:p w:rsidR="00000000" w:rsidRPr="000D0DF9" w:rsidP="000D0DF9">
            <w:pPr>
              <w:pStyle w:val="ListBullet"/>
            </w:pPr>
            <w:r w:rsidRPr="000D0DF9">
              <w:t>gluing</w:t>
            </w:r>
          </w:p>
          <w:p w:rsidR="00000000" w:rsidRPr="000D0DF9" w:rsidP="000D0DF9">
            <w:pPr>
              <w:pStyle w:val="ListBullet"/>
            </w:pPr>
            <w:r w:rsidRPr="000D0DF9">
              <w:t>screwing</w:t>
            </w:r>
          </w:p>
          <w:p w:rsidR="00000000" w:rsidRPr="000D0DF9" w:rsidP="000D0DF9">
            <w:pPr>
              <w:pStyle w:val="ListBullet"/>
            </w:pPr>
            <w:r w:rsidRPr="000D0DF9">
              <w:t>welding</w:t>
            </w:r>
          </w:p>
          <w:p w:rsidR="00000000" w:rsidRPr="000D0DF9" w:rsidP="000D0DF9">
            <w:pPr>
              <w:pStyle w:val="ListBullet"/>
            </w:pPr>
            <w:r w:rsidRPr="000D0DF9">
              <w:t>pressing</w:t>
            </w:r>
          </w:p>
          <w:p w:rsidR="00000000" w:rsidRPr="000D0DF9" w:rsidP="000D0DF9">
            <w:pPr>
              <w:pStyle w:val="ListBullet"/>
            </w:pPr>
            <w:r w:rsidRPr="000D0DF9">
              <w:t>sewing</w:t>
            </w:r>
          </w:p>
          <w:p w:rsidR="00000000" w:rsidRPr="000D0DF9" w:rsidP="000D0DF9">
            <w:pPr>
              <w:pStyle w:val="ListBullet"/>
            </w:pPr>
            <w:r w:rsidRPr="000D0DF9">
              <w:t>bonding</w:t>
            </w:r>
          </w:p>
          <w:p w:rsidR="00000000" w:rsidRPr="000D0DF9" w:rsidP="000D0DF9">
            <w:pPr>
              <w:pStyle w:val="ListBullet"/>
            </w:pPr>
            <w:r w:rsidRPr="000D0DF9">
              <w:t xml:space="preserve">jointing </w:t>
            </w:r>
          </w:p>
          <w:p w:rsidR="00000000" w:rsidP="000D0DF9">
            <w:pPr>
              <w:pStyle w:val="ListBullet"/>
              <w:rPr>
                <w:lang w:val="en-NZ"/>
              </w:rPr>
            </w:pPr>
            <w:r w:rsidRPr="000D0DF9">
              <w:t>connecting various materials</w:t>
            </w:r>
          </w:p>
        </w:tc>
      </w:tr>
      <w:tr w:rsidTr="000D0D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rPr>
                <w:rStyle w:val="SpecialBold"/>
              </w:rPr>
              <w:t>Sketches include:</w:t>
            </w:r>
          </w:p>
        </w:tc>
        <w:tc>
          <w:tcPr>
            <w:tcW w:w="6312" w:type="dxa"/>
            <w:tcBorders>
              <w:top w:val="nil"/>
              <w:left w:val="nil"/>
              <w:bottom w:val="nil"/>
              <w:right w:val="nil"/>
            </w:tcBorders>
            <w:tcMar>
              <w:top w:w="0" w:type="dxa"/>
              <w:left w:w="62" w:type="dxa"/>
              <w:bottom w:w="0" w:type="dxa"/>
              <w:right w:w="62" w:type="dxa"/>
            </w:tcMar>
          </w:tcPr>
          <w:p w:rsidR="00000000" w:rsidRPr="000D0DF9" w:rsidP="000D0DF9">
            <w:pPr>
              <w:pStyle w:val="ListBullet"/>
            </w:pPr>
            <w:r w:rsidRPr="000D0DF9">
              <w:t xml:space="preserve">hand drawn images </w:t>
            </w:r>
          </w:p>
          <w:p w:rsidR="00000000" w:rsidP="000D0DF9">
            <w:pPr>
              <w:pStyle w:val="ListBullet"/>
              <w:rPr>
                <w:lang w:val="en-NZ"/>
              </w:rPr>
            </w:pPr>
            <w:r w:rsidRPr="000D0DF9">
              <w:t>ideation drawings completed freehand</w:t>
            </w:r>
          </w:p>
        </w:tc>
      </w:tr>
      <w:tr w:rsidTr="000D0D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rPr>
                <w:rStyle w:val="SpecialBold"/>
              </w:rPr>
              <w:t>Freehand development drawings include:</w:t>
            </w:r>
          </w:p>
        </w:tc>
        <w:tc>
          <w:tcPr>
            <w:tcW w:w="6312" w:type="dxa"/>
            <w:tcBorders>
              <w:top w:val="nil"/>
              <w:left w:val="nil"/>
              <w:bottom w:val="nil"/>
              <w:right w:val="nil"/>
            </w:tcBorders>
            <w:tcMar>
              <w:top w:w="0" w:type="dxa"/>
              <w:left w:w="62" w:type="dxa"/>
              <w:bottom w:w="0" w:type="dxa"/>
              <w:right w:w="62" w:type="dxa"/>
            </w:tcMar>
          </w:tcPr>
          <w:p w:rsidR="00000000" w:rsidRPr="000D0DF9" w:rsidP="000D0DF9">
            <w:pPr>
              <w:pStyle w:val="ListBullet"/>
            </w:pPr>
            <w:r w:rsidRPr="000D0DF9">
              <w:t xml:space="preserve">isometric </w:t>
            </w:r>
          </w:p>
          <w:p w:rsidR="00000000" w:rsidRPr="000D0DF9" w:rsidP="000D0DF9">
            <w:pPr>
              <w:pStyle w:val="ListBullet"/>
            </w:pPr>
            <w:r w:rsidRPr="000D0DF9">
              <w:t>oblique</w:t>
            </w:r>
          </w:p>
          <w:p w:rsidR="00000000" w:rsidRPr="000D0DF9" w:rsidP="000D0DF9">
            <w:pPr>
              <w:pStyle w:val="ListBullet"/>
            </w:pPr>
            <w:r w:rsidRPr="000D0DF9">
              <w:t>perspective</w:t>
            </w:r>
          </w:p>
          <w:p w:rsidR="00000000" w:rsidRPr="000D0DF9" w:rsidP="000D0DF9">
            <w:pPr>
              <w:pStyle w:val="ListBullet"/>
            </w:pPr>
            <w:r w:rsidRPr="000D0DF9">
              <w:t xml:space="preserve">orthographic </w:t>
            </w:r>
          </w:p>
          <w:p w:rsidR="00000000" w:rsidRPr="000D0DF9" w:rsidP="000D0DF9">
            <w:pPr>
              <w:pStyle w:val="ListBullet"/>
            </w:pPr>
            <w:r w:rsidRPr="000D0DF9">
              <w:t>elevation drawings which e</w:t>
            </w:r>
            <w:r w:rsidRPr="000D0DF9">
              <w:t xml:space="preserve">xplode the parts of the concept sketches and include: </w:t>
            </w:r>
          </w:p>
          <w:p w:rsidR="00000000" w:rsidRPr="000D0DF9" w:rsidP="000D0DF9">
            <w:pPr>
              <w:pStyle w:val="ListBullet2"/>
            </w:pPr>
            <w:r w:rsidRPr="000D0DF9">
              <w:t xml:space="preserve">rough sizes </w:t>
            </w:r>
          </w:p>
          <w:p w:rsidR="00000000" w:rsidRPr="000D0DF9" w:rsidP="000D0DF9">
            <w:pPr>
              <w:pStyle w:val="ListBullet2"/>
            </w:pPr>
            <w:r w:rsidRPr="000D0DF9">
              <w:t>scale</w:t>
            </w:r>
          </w:p>
          <w:p w:rsidR="00000000" w:rsidRPr="000D0DF9" w:rsidP="000D0DF9">
            <w:pPr>
              <w:pStyle w:val="ListBullet2"/>
            </w:pPr>
            <w:r w:rsidRPr="000D0DF9">
              <w:t xml:space="preserve">tones </w:t>
            </w:r>
          </w:p>
          <w:p w:rsidR="00000000" w:rsidP="000D0DF9">
            <w:pPr>
              <w:pStyle w:val="ListBullet2"/>
              <w:rPr>
                <w:lang w:val="en-NZ"/>
              </w:rPr>
            </w:pPr>
            <w:r w:rsidRPr="000D0DF9">
              <w:t>values</w:t>
            </w:r>
          </w:p>
        </w:tc>
      </w:tr>
      <w:tr w:rsidTr="000D0D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rPr>
                <w:rStyle w:val="SpecialBold"/>
              </w:rPr>
              <w:t>Prototypes or samples include:</w:t>
            </w:r>
          </w:p>
        </w:tc>
        <w:tc>
          <w:tcPr>
            <w:tcW w:w="6312" w:type="dxa"/>
            <w:tcBorders>
              <w:top w:val="nil"/>
              <w:left w:val="nil"/>
              <w:bottom w:val="nil"/>
              <w:right w:val="nil"/>
            </w:tcBorders>
            <w:tcMar>
              <w:top w:w="0" w:type="dxa"/>
              <w:left w:w="62" w:type="dxa"/>
              <w:bottom w:w="0" w:type="dxa"/>
              <w:right w:w="62" w:type="dxa"/>
            </w:tcMar>
          </w:tcPr>
          <w:p w:rsidR="00000000" w:rsidP="000D0DF9">
            <w:pPr>
              <w:pStyle w:val="ListBullet"/>
              <w:rPr>
                <w:lang w:val="en-NZ"/>
              </w:rPr>
            </w:pPr>
            <w:r w:rsidRPr="000D0DF9">
              <w:t xml:space="preserve">a full size replica of the intended product outcome based on concept sketches and </w:t>
            </w:r>
            <w:r w:rsidRPr="000D0DF9">
              <w:t>freehand development drawings, produced from stiff cardboard, scrap timber or moulding clay</w:t>
            </w:r>
          </w:p>
        </w:tc>
      </w:tr>
      <w:tr w:rsidTr="000D0D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rPr>
                <w:rStyle w:val="SpecialBold"/>
              </w:rPr>
              <w:t>Specifications include:</w:t>
            </w:r>
          </w:p>
        </w:tc>
        <w:tc>
          <w:tcPr>
            <w:tcW w:w="6312" w:type="dxa"/>
            <w:tcBorders>
              <w:top w:val="nil"/>
              <w:left w:val="nil"/>
              <w:bottom w:val="nil"/>
              <w:right w:val="nil"/>
            </w:tcBorders>
            <w:tcMar>
              <w:top w:w="0" w:type="dxa"/>
              <w:left w:w="62" w:type="dxa"/>
              <w:bottom w:w="0" w:type="dxa"/>
              <w:right w:w="62" w:type="dxa"/>
            </w:tcMar>
          </w:tcPr>
          <w:p w:rsidR="00000000" w:rsidRPr="000D0DF9" w:rsidP="000D0DF9">
            <w:pPr>
              <w:pStyle w:val="ListBullet"/>
            </w:pPr>
            <w:r w:rsidRPr="000D0DF9">
              <w:t>measurements</w:t>
            </w:r>
          </w:p>
          <w:p w:rsidR="00000000" w:rsidRPr="000D0DF9" w:rsidP="000D0DF9">
            <w:pPr>
              <w:pStyle w:val="ListBullet"/>
            </w:pPr>
            <w:r w:rsidRPr="000D0DF9">
              <w:t xml:space="preserve">procedures by which a product is constructed </w:t>
            </w:r>
          </w:p>
          <w:p w:rsidR="00000000" w:rsidP="000D0DF9">
            <w:pPr>
              <w:pStyle w:val="ListBullet"/>
              <w:rPr>
                <w:lang w:val="en-NZ"/>
              </w:rPr>
            </w:pPr>
            <w:r w:rsidRPr="000D0DF9">
              <w:t>materials to be utilised</w:t>
            </w:r>
          </w:p>
        </w:tc>
      </w:tr>
      <w:tr w:rsidTr="000D0D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rPr>
                <w:rStyle w:val="SpecialBold"/>
              </w:rPr>
              <w:t>Functionality includes:</w:t>
            </w:r>
          </w:p>
        </w:tc>
        <w:tc>
          <w:tcPr>
            <w:tcW w:w="6312" w:type="dxa"/>
            <w:tcBorders>
              <w:top w:val="nil"/>
              <w:left w:val="nil"/>
              <w:bottom w:val="nil"/>
              <w:right w:val="nil"/>
            </w:tcBorders>
            <w:tcMar>
              <w:top w:w="0" w:type="dxa"/>
              <w:left w:w="62" w:type="dxa"/>
              <w:bottom w:w="0" w:type="dxa"/>
              <w:right w:w="62" w:type="dxa"/>
            </w:tcMar>
          </w:tcPr>
          <w:p w:rsidR="00000000" w:rsidP="000D0DF9">
            <w:pPr>
              <w:pStyle w:val="ListBullet"/>
              <w:rPr>
                <w:lang w:val="en-NZ"/>
              </w:rPr>
            </w:pPr>
            <w:r w:rsidRPr="000D0DF9">
              <w:t>purpose intended for the product in relationship to the design brief</w:t>
            </w:r>
          </w:p>
        </w:tc>
      </w:tr>
      <w:tr w:rsidTr="000D0D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rPr>
                <w:rStyle w:val="SpecialBold"/>
              </w:rPr>
              <w:t>Elements of design include:</w:t>
            </w:r>
          </w:p>
        </w:tc>
        <w:tc>
          <w:tcPr>
            <w:tcW w:w="6312" w:type="dxa"/>
            <w:tcBorders>
              <w:top w:val="nil"/>
              <w:left w:val="nil"/>
              <w:bottom w:val="nil"/>
              <w:right w:val="nil"/>
            </w:tcBorders>
            <w:tcMar>
              <w:top w:w="0" w:type="dxa"/>
              <w:left w:w="62" w:type="dxa"/>
              <w:bottom w:w="0" w:type="dxa"/>
              <w:right w:w="62" w:type="dxa"/>
            </w:tcMar>
          </w:tcPr>
          <w:p w:rsidR="00000000" w:rsidRPr="000D0DF9" w:rsidP="000D0DF9">
            <w:pPr>
              <w:pStyle w:val="ListBullet"/>
            </w:pPr>
            <w:r w:rsidRPr="000D0DF9">
              <w:t>line</w:t>
            </w:r>
          </w:p>
          <w:p w:rsidR="00000000" w:rsidRPr="000D0DF9" w:rsidP="000D0DF9">
            <w:pPr>
              <w:pStyle w:val="ListBullet"/>
            </w:pPr>
            <w:r w:rsidRPr="000D0DF9">
              <w:t>shape</w:t>
            </w:r>
          </w:p>
          <w:p w:rsidR="00000000" w:rsidRPr="000D0DF9" w:rsidP="000D0DF9">
            <w:pPr>
              <w:pStyle w:val="ListBullet"/>
            </w:pPr>
            <w:r w:rsidRPr="000D0DF9">
              <w:t xml:space="preserve">form (geometric or organic) </w:t>
            </w:r>
          </w:p>
          <w:p w:rsidR="00000000" w:rsidRPr="000D0DF9" w:rsidP="000D0DF9">
            <w:pPr>
              <w:pStyle w:val="ListBullet"/>
            </w:pPr>
            <w:r w:rsidRPr="000D0DF9">
              <w:t>texture</w:t>
            </w:r>
          </w:p>
          <w:p w:rsidR="00000000" w:rsidRPr="000D0DF9" w:rsidP="000D0DF9">
            <w:pPr>
              <w:pStyle w:val="ListBullet"/>
            </w:pPr>
            <w:r w:rsidRPr="000D0DF9">
              <w:t xml:space="preserve">colour </w:t>
            </w:r>
          </w:p>
          <w:p w:rsidR="00000000" w:rsidP="000D0DF9">
            <w:pPr>
              <w:pStyle w:val="ListBullet"/>
              <w:rPr>
                <w:lang w:val="en-NZ"/>
              </w:rPr>
            </w:pPr>
            <w:r w:rsidRPr="000D0DF9">
              <w:t>function</w:t>
            </w:r>
          </w:p>
        </w:tc>
      </w:tr>
      <w:tr w:rsidTr="000D0D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rPr>
                <w:rStyle w:val="SpecialBold"/>
              </w:rPr>
              <w:t>Principles of design include:</w:t>
            </w:r>
          </w:p>
        </w:tc>
        <w:tc>
          <w:tcPr>
            <w:tcW w:w="6312" w:type="dxa"/>
            <w:tcBorders>
              <w:top w:val="nil"/>
              <w:left w:val="nil"/>
              <w:bottom w:val="nil"/>
              <w:right w:val="nil"/>
            </w:tcBorders>
            <w:tcMar>
              <w:top w:w="0" w:type="dxa"/>
              <w:left w:w="62" w:type="dxa"/>
              <w:bottom w:w="0" w:type="dxa"/>
              <w:right w:w="62" w:type="dxa"/>
            </w:tcMar>
          </w:tcPr>
          <w:p w:rsidR="00000000" w:rsidRPr="000D0DF9" w:rsidP="000D0DF9">
            <w:pPr>
              <w:pStyle w:val="ListBullet"/>
            </w:pPr>
            <w:r w:rsidRPr="000D0DF9">
              <w:t xml:space="preserve">balance </w:t>
            </w:r>
          </w:p>
          <w:p w:rsidR="00000000" w:rsidRPr="000D0DF9" w:rsidP="000D0DF9">
            <w:pPr>
              <w:pStyle w:val="ListBullet"/>
            </w:pPr>
            <w:r w:rsidRPr="000D0DF9">
              <w:t xml:space="preserve">proportion (symmetry and asymmetry) </w:t>
            </w:r>
          </w:p>
          <w:p w:rsidR="00000000" w:rsidRPr="000D0DF9" w:rsidP="000D0DF9">
            <w:pPr>
              <w:pStyle w:val="ListBullet"/>
            </w:pPr>
            <w:r w:rsidRPr="000D0DF9">
              <w:t>harmony</w:t>
            </w:r>
          </w:p>
          <w:p w:rsidR="00000000" w:rsidRPr="000D0DF9" w:rsidP="000D0DF9">
            <w:pPr>
              <w:pStyle w:val="ListBullet"/>
            </w:pPr>
            <w:r w:rsidRPr="000D0DF9">
              <w:t>contrast</w:t>
            </w:r>
          </w:p>
          <w:p w:rsidR="00000000" w:rsidRPr="000D0DF9" w:rsidP="000D0DF9">
            <w:pPr>
              <w:pStyle w:val="ListBullet"/>
            </w:pPr>
            <w:r w:rsidRPr="000D0DF9">
              <w:t>pattern</w:t>
            </w:r>
          </w:p>
          <w:p w:rsidR="00000000" w:rsidRPr="000D0DF9" w:rsidP="000D0DF9">
            <w:pPr>
              <w:pStyle w:val="ListBullet"/>
            </w:pPr>
            <w:r w:rsidRPr="000D0DF9">
              <w:t>movement</w:t>
            </w:r>
          </w:p>
          <w:p w:rsidR="00000000" w:rsidRPr="000D0DF9" w:rsidP="000D0DF9">
            <w:pPr>
              <w:pStyle w:val="ListBullet"/>
            </w:pPr>
            <w:r w:rsidRPr="000D0DF9">
              <w:t>rhythm</w:t>
            </w:r>
          </w:p>
          <w:p w:rsidR="00000000" w:rsidRPr="000D0DF9" w:rsidP="000D0DF9">
            <w:pPr>
              <w:pStyle w:val="ListBullet"/>
            </w:pPr>
            <w:r w:rsidRPr="000D0DF9">
              <w:t>unity</w:t>
            </w:r>
          </w:p>
          <w:p w:rsidR="00000000" w:rsidRPr="000D0DF9" w:rsidP="000D0DF9">
            <w:pPr>
              <w:pStyle w:val="ListBullet"/>
            </w:pPr>
            <w:r w:rsidRPr="000D0DF9">
              <w:t>style</w:t>
            </w:r>
          </w:p>
          <w:p w:rsidR="00000000" w:rsidRPr="000D0DF9" w:rsidP="000D0DF9">
            <w:pPr>
              <w:pStyle w:val="ListBullet"/>
            </w:pPr>
            <w:r w:rsidRPr="000D0DF9">
              <w:t>focus</w:t>
            </w:r>
          </w:p>
          <w:p w:rsidR="00000000" w:rsidRPr="000D0DF9" w:rsidP="000D0DF9">
            <w:pPr>
              <w:pStyle w:val="ListBullet"/>
            </w:pPr>
            <w:r w:rsidRPr="000D0DF9">
              <w:t>scale</w:t>
            </w:r>
          </w:p>
          <w:p w:rsidR="00000000" w:rsidRPr="000D0DF9" w:rsidP="000D0DF9">
            <w:pPr>
              <w:pStyle w:val="ListBullet"/>
            </w:pPr>
            <w:r w:rsidRPr="000D0DF9">
              <w:t>dominant</w:t>
            </w:r>
          </w:p>
          <w:p w:rsidR="00000000" w:rsidRPr="000D0DF9" w:rsidP="000D0DF9">
            <w:pPr>
              <w:pStyle w:val="ListBullet"/>
            </w:pPr>
            <w:r w:rsidRPr="000D0DF9">
              <w:t xml:space="preserve">sub-dominant </w:t>
            </w:r>
          </w:p>
          <w:p w:rsidR="00000000" w:rsidRPr="000D0DF9" w:rsidP="000D0DF9">
            <w:pPr>
              <w:pStyle w:val="ListBullet"/>
            </w:pPr>
            <w:r w:rsidRPr="000D0DF9">
              <w:t>subordinate relationship</w:t>
            </w:r>
          </w:p>
          <w:p w:rsidR="00000000" w:rsidRPr="000D0DF9" w:rsidP="000D0DF9">
            <w:pPr>
              <w:pStyle w:val="ListBullet"/>
            </w:pPr>
            <w:r w:rsidRPr="000D0DF9">
              <w:t>emphasis</w:t>
            </w:r>
          </w:p>
          <w:p w:rsidR="00000000" w:rsidRPr="000D0DF9" w:rsidP="000D0DF9">
            <w:pPr>
              <w:pStyle w:val="ListBullet"/>
            </w:pPr>
            <w:r w:rsidRPr="000D0DF9">
              <w:t>proximity</w:t>
            </w:r>
          </w:p>
          <w:p w:rsidR="00000000" w:rsidRPr="000D0DF9" w:rsidP="000D0DF9">
            <w:pPr>
              <w:pStyle w:val="ListBullet"/>
            </w:pPr>
            <w:r w:rsidRPr="000D0DF9">
              <w:t>alignment</w:t>
            </w:r>
          </w:p>
          <w:p w:rsidR="00000000" w:rsidRPr="000D0DF9" w:rsidP="000D0DF9">
            <w:pPr>
              <w:pStyle w:val="ListBullet"/>
            </w:pPr>
            <w:r w:rsidRPr="000D0DF9">
              <w:t>space</w:t>
            </w:r>
          </w:p>
          <w:p w:rsidR="00000000" w:rsidRPr="000D0DF9" w:rsidP="000D0DF9">
            <w:pPr>
              <w:pStyle w:val="ListBullet"/>
            </w:pPr>
            <w:r w:rsidRPr="000D0DF9">
              <w:t>anthropometry</w:t>
            </w:r>
          </w:p>
          <w:p w:rsidR="00000000" w:rsidRPr="000D0DF9" w:rsidP="000D0DF9">
            <w:pPr>
              <w:pStyle w:val="ListBullet"/>
            </w:pPr>
            <w:r w:rsidRPr="000D0DF9">
              <w:t>ergonomics</w:t>
            </w:r>
          </w:p>
          <w:p w:rsidR="00000000" w:rsidRPr="000D0DF9" w:rsidP="000D0DF9">
            <w:pPr>
              <w:pStyle w:val="ListBullet"/>
            </w:pPr>
            <w:r w:rsidRPr="000D0DF9">
              <w:t xml:space="preserve">arrangement </w:t>
            </w:r>
          </w:p>
          <w:p w:rsidR="00000000" w:rsidRPr="000D0DF9" w:rsidP="000D0DF9">
            <w:pPr>
              <w:pStyle w:val="ListBullet"/>
            </w:pPr>
            <w:r w:rsidRPr="000D0DF9">
              <w:t xml:space="preserve">workload materials handling capacity </w:t>
            </w:r>
          </w:p>
          <w:p w:rsidR="00000000" w:rsidRPr="000D0DF9" w:rsidP="000D0DF9">
            <w:pPr>
              <w:pStyle w:val="ListBullet"/>
            </w:pPr>
            <w:r w:rsidRPr="000D0DF9">
              <w:t xml:space="preserve">skills available </w:t>
            </w:r>
          </w:p>
          <w:p w:rsidR="00000000" w:rsidRPr="000D0DF9" w:rsidP="000D0DF9">
            <w:pPr>
              <w:pStyle w:val="ListBullet"/>
            </w:pPr>
            <w:r w:rsidRPr="000D0DF9">
              <w:t>equipment capabilities</w:t>
            </w:r>
          </w:p>
          <w:p w:rsidR="00000000" w:rsidRPr="000D0DF9" w:rsidP="000D0DF9">
            <w:pPr>
              <w:pStyle w:val="ListBullet"/>
            </w:pPr>
            <w:r w:rsidRPr="000D0DF9">
              <w:t>aesthetic relations</w:t>
            </w:r>
          </w:p>
          <w:p w:rsidR="00000000" w:rsidRPr="000D0DF9" w:rsidP="000D0DF9">
            <w:pPr>
              <w:pStyle w:val="ListBullet"/>
            </w:pPr>
            <w:r w:rsidRPr="000D0DF9">
              <w:t xml:space="preserve">tension </w:t>
            </w:r>
          </w:p>
          <w:p w:rsidR="00000000" w:rsidP="000D0DF9">
            <w:pPr>
              <w:pStyle w:val="ListBullet"/>
              <w:rPr>
                <w:lang w:val="en-NZ"/>
              </w:rPr>
            </w:pPr>
            <w:r w:rsidRPr="000D0DF9">
              <w:t>development methods</w:t>
            </w:r>
          </w:p>
        </w:tc>
      </w:tr>
      <w:tr w:rsidTr="000D0D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rPr>
                <w:rStyle w:val="SpecialBold"/>
              </w:rPr>
              <w:t>Modifications include:</w:t>
            </w:r>
          </w:p>
        </w:tc>
        <w:tc>
          <w:tcPr>
            <w:tcW w:w="6312" w:type="dxa"/>
            <w:tcBorders>
              <w:top w:val="nil"/>
              <w:left w:val="nil"/>
              <w:bottom w:val="nil"/>
              <w:right w:val="nil"/>
            </w:tcBorders>
            <w:tcMar>
              <w:top w:w="0" w:type="dxa"/>
              <w:left w:w="62" w:type="dxa"/>
              <w:bottom w:w="0" w:type="dxa"/>
              <w:right w:w="62" w:type="dxa"/>
            </w:tcMar>
          </w:tcPr>
          <w:p w:rsidR="00000000" w:rsidP="000D0DF9">
            <w:pPr>
              <w:pStyle w:val="ListBullet"/>
              <w:rPr>
                <w:lang w:val="en-NZ"/>
              </w:rPr>
            </w:pPr>
            <w:r w:rsidRPr="000D0DF9">
              <w:t>alterations to the original prototype concept to achieve better balance, proportion or aesthetic value</w:t>
            </w:r>
          </w:p>
        </w:tc>
      </w:tr>
      <w:tr w:rsidTr="000D0D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rPr>
                <w:rStyle w:val="SpecialBold"/>
              </w:rPr>
              <w:t>Records and reports include:</w:t>
            </w:r>
          </w:p>
        </w:tc>
        <w:tc>
          <w:tcPr>
            <w:tcW w:w="6312" w:type="dxa"/>
            <w:tcBorders>
              <w:top w:val="nil"/>
              <w:left w:val="nil"/>
              <w:bottom w:val="nil"/>
              <w:right w:val="nil"/>
            </w:tcBorders>
            <w:tcMar>
              <w:top w:w="0" w:type="dxa"/>
              <w:left w:w="62" w:type="dxa"/>
              <w:bottom w:w="0" w:type="dxa"/>
              <w:right w:w="62" w:type="dxa"/>
            </w:tcMar>
          </w:tcPr>
          <w:p w:rsidR="00000000" w:rsidRPr="000D0DF9" w:rsidP="000D0DF9">
            <w:pPr>
              <w:pStyle w:val="ListBullet"/>
            </w:pPr>
            <w:r w:rsidRPr="000D0DF9">
              <w:t xml:space="preserve">design and production method </w:t>
            </w:r>
          </w:p>
          <w:p w:rsidR="00000000" w:rsidRPr="000D0DF9" w:rsidP="000D0DF9">
            <w:pPr>
              <w:pStyle w:val="ListBullet"/>
            </w:pPr>
            <w:r w:rsidRPr="000D0DF9">
              <w:t xml:space="preserve">product type and </w:t>
            </w:r>
            <w:r w:rsidRPr="000D0DF9">
              <w:t>size</w:t>
            </w:r>
          </w:p>
          <w:p w:rsidR="00000000" w:rsidRPr="000D0DF9" w:rsidP="000D0DF9">
            <w:pPr>
              <w:pStyle w:val="ListBullet"/>
            </w:pPr>
            <w:r w:rsidRPr="000D0DF9">
              <w:t>inspection and labelling outcomes</w:t>
            </w:r>
          </w:p>
          <w:p w:rsidR="00000000" w:rsidRPr="000D0DF9" w:rsidP="000D0DF9">
            <w:pPr>
              <w:pStyle w:val="ListBullet"/>
            </w:pPr>
            <w:r w:rsidRPr="000D0DF9">
              <w:t xml:space="preserve">storage locations </w:t>
            </w:r>
          </w:p>
          <w:p w:rsidR="00000000" w:rsidRPr="000D0DF9" w:rsidP="000D0DF9">
            <w:pPr>
              <w:pStyle w:val="ListBullet"/>
            </w:pPr>
            <w:r w:rsidRPr="000D0DF9">
              <w:t xml:space="preserve">quality outcomes </w:t>
            </w:r>
          </w:p>
          <w:p w:rsidR="00000000" w:rsidP="000D0DF9">
            <w:pPr>
              <w:pStyle w:val="ListBullet"/>
              <w:rPr>
                <w:lang w:val="en-NZ"/>
              </w:rPr>
            </w:pPr>
            <w:r w:rsidRPr="000D0DF9">
              <w:t>hazards, incidents or equipment malfunctions</w:t>
            </w:r>
          </w:p>
        </w:tc>
      </w:tr>
      <w:tr w:rsidTr="000D0D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0D0DF9">
            <w:pPr>
              <w:pStyle w:val="ListBullet"/>
              <w:rPr>
                <w:lang w:val="en-NZ"/>
              </w:rPr>
            </w:pPr>
            <w:r w:rsidRPr="000D0DF9">
              <w:t xml:space="preserve">that prescribed under legislation, regulations and enterprise policies and practices </w:t>
            </w:r>
          </w:p>
        </w:tc>
      </w:tr>
      <w:tr w:rsidTr="000D0D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0DF9">
            <w:pPr>
              <w:pStyle w:val="BodyText"/>
              <w:rPr>
                <w:lang w:val="en-NZ"/>
              </w:rPr>
            </w:pPr>
            <w:r w:rsidRPr="000D0DF9">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0D0DF9" w:rsidP="000D0DF9">
            <w:pPr>
              <w:pStyle w:val="ListBullet"/>
            </w:pPr>
            <w:r w:rsidRPr="000D0DF9">
              <w:t xml:space="preserve">work procedures/instructions </w:t>
            </w:r>
          </w:p>
          <w:p w:rsidR="00000000" w:rsidRPr="000D0DF9" w:rsidP="000D0DF9">
            <w:pPr>
              <w:pStyle w:val="ListBullet"/>
            </w:pPr>
            <w:r w:rsidRPr="000D0DF9">
              <w:t xml:space="preserve">manufacturer specifications and instructions </w:t>
            </w:r>
          </w:p>
          <w:p w:rsidR="00000000" w:rsidRPr="000D0DF9" w:rsidP="000D0DF9">
            <w:pPr>
              <w:pStyle w:val="ListBullet"/>
            </w:pPr>
            <w:r w:rsidRPr="000D0DF9">
              <w:t>standard forms of workplace process and procedures</w:t>
            </w:r>
          </w:p>
          <w:p w:rsidR="00000000" w:rsidRPr="000D0DF9" w:rsidP="000D0DF9">
            <w:pPr>
              <w:pStyle w:val="ListBullet"/>
            </w:pPr>
            <w:r w:rsidRPr="000D0DF9">
              <w:t xml:space="preserve">organisation work specifications and requirements </w:t>
            </w:r>
          </w:p>
          <w:p w:rsidR="00000000" w:rsidRPr="000D0DF9" w:rsidP="000D0DF9">
            <w:pPr>
              <w:pStyle w:val="ListBullet"/>
            </w:pPr>
            <w:r w:rsidRPr="000D0DF9">
              <w:t>legislation, regulations and codes of pra</w:t>
            </w:r>
            <w:r w:rsidRPr="000D0DF9">
              <w:t xml:space="preserve">ctice </w:t>
            </w:r>
          </w:p>
          <w:p w:rsidR="00000000" w:rsidRPr="000D0DF9" w:rsidP="000D0DF9">
            <w:pPr>
              <w:pStyle w:val="ListBullet"/>
            </w:pPr>
            <w:r w:rsidRPr="000D0DF9">
              <w:t>quality and Australian Standards and procedures</w:t>
            </w:r>
          </w:p>
        </w:tc>
      </w:tr>
    </w:tbl>
    <w:p w:rsidR="001268C5" w:rsidP="000D0DF9">
      <w:pPr>
        <w:pStyle w:val="BodyText"/>
      </w:pPr>
    </w:p>
    <w:p w:rsidR="001268C5" w:rsidP="000D0DF9">
      <w:pPr>
        <w:pStyle w:val="BodyText"/>
      </w:pPr>
    </w:p>
    <w:p w:rsidR="00000000" w:rsidRPr="000D0DF9" w:rsidP="000D0DF9">
      <w:pPr>
        <w:pStyle w:val="Heading1"/>
      </w:pPr>
      <w:bookmarkStart w:id="9" w:name="O_631515"/>
      <w:bookmarkEnd w:id="9"/>
      <w:r w:rsidRPr="000D0DF9">
        <w:t>Unit Mapping Information</w:t>
      </w:r>
    </w:p>
    <w:p w:rsidR="00000000" w:rsidRPr="000D0DF9" w:rsidP="001268C5">
      <w:pPr>
        <w:pStyle w:val="BodyText"/>
      </w:pPr>
      <w:r w:rsidRPr="000D0DF9">
        <w:t>Supersedes and is equivalent to LMFFDT4005A Construct and evaluate furniture prototypes and samples</w:t>
      </w:r>
    </w:p>
    <w:p w:rsidR="00000000" w:rsidRPr="000D0DF9" w:rsidP="000D0DF9">
      <w:pPr>
        <w:pStyle w:val="Heading1"/>
      </w:pPr>
      <w:bookmarkStart w:id="10" w:name="O_631508"/>
      <w:bookmarkEnd w:id="10"/>
      <w:r w:rsidRPr="000D0DF9">
        <w:t>Links</w:t>
      </w:r>
    </w:p>
    <w:p w:rsidR="00000000" w:rsidRPr="000D0DF9" w:rsidP="001268C5">
      <w:pPr>
        <w:pStyle w:val="BodyText"/>
      </w:pPr>
      <w:r w:rsidRPr="000D0DF9">
        <w:t>Comp</w:t>
      </w:r>
      <w:r w:rsidRPr="000D0DF9">
        <w:t xml:space="preserve">anion Volume implementation guides are found in VETNet - </w:t>
      </w:r>
      <w:r>
        <w:fldChar w:fldCharType="begin"/>
      </w:r>
      <w:r>
        <w:instrText xml:space="preserve"> HYPERLINK "https://vetnet.gov.au/Pages/TrainingDocs.aspx?q=0601ab95-583a-4e93-b2d4-cfb27b03ed73" </w:instrText>
      </w:r>
      <w:r>
        <w:fldChar w:fldCharType="separate"/>
      </w:r>
      <w:r w:rsidRPr="005E2D6A">
        <w:rPr>
          <w:rStyle w:val="Hyperlink"/>
        </w:rPr>
        <w:t>https://vetnet.gov.au/Pages/TrainingDocs.aspx?q=0601ab95-583a-4e93-b2d4-cfb27b03ed73</w:t>
      </w:r>
      <w:r>
        <w:fldChar w:fldCharType="end"/>
      </w:r>
    </w:p>
    <w:p w:rsidR="00000000" w:rsidRPr="000D0DF9" w:rsidP="000D0DF9"/>
    <w:sectPr w:rsidSect="000D0D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D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DF9" w:rsidRPr="001268C5" w:rsidP="001268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D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8C5" w:rsidP="000D0D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268C5" w:rsidP="000D0DF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68C5" w:rsidP="000D0D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D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8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0DF9" w:rsidRPr="001268C5" w:rsidP="001268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D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8C5" w:rsidRPr="002D2AF8" w:rsidP="000D0DF9">
    <w:pPr>
      <w:pStyle w:val="Header"/>
      <w:framePr w:wrap="around"/>
    </w:pPr>
    <w:r>
      <w:fldChar w:fldCharType="begin"/>
    </w:r>
    <w:r>
      <w:instrText xml:space="preserve"> TITLE   \* MERGEFORMAT </w:instrText>
    </w:r>
    <w:r>
      <w:fldChar w:fldCharType="separate"/>
    </w:r>
    <w:r>
      <w:t>MSFFDT4005 Construct and evaluate furniture prototypes and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1268C5" w:rsidP="000D0D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1E84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EC9F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BE52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D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0DF9"/>
    <w:pPr>
      <w:spacing w:before="360" w:after="60"/>
      <w:outlineLvl w:val="0"/>
    </w:pPr>
    <w:rPr>
      <w:sz w:val="32"/>
    </w:rPr>
  </w:style>
  <w:style w:type="paragraph" w:styleId="Heading2">
    <w:name w:val="heading 2"/>
    <w:basedOn w:val="HeadingBase"/>
    <w:next w:val="BodyText"/>
    <w:link w:val="Heading2Char"/>
    <w:qFormat/>
    <w:rsid w:val="000D0DF9"/>
    <w:pPr>
      <w:keepLines/>
      <w:spacing w:before="240" w:after="120"/>
      <w:outlineLvl w:val="1"/>
    </w:pPr>
    <w:rPr>
      <w:sz w:val="28"/>
      <w:szCs w:val="40"/>
    </w:rPr>
  </w:style>
  <w:style w:type="paragraph" w:styleId="Heading3">
    <w:name w:val="heading 3"/>
    <w:basedOn w:val="HeadingBase"/>
    <w:next w:val="BodyText"/>
    <w:link w:val="Heading3Char"/>
    <w:qFormat/>
    <w:rsid w:val="000D0DF9"/>
    <w:pPr>
      <w:spacing w:before="180" w:after="120"/>
      <w:outlineLvl w:val="2"/>
    </w:pPr>
    <w:rPr>
      <w:spacing w:val="-10"/>
      <w:kern w:val="32"/>
    </w:rPr>
  </w:style>
  <w:style w:type="paragraph" w:styleId="Heading4">
    <w:name w:val="heading 4"/>
    <w:basedOn w:val="HeadingBase"/>
    <w:next w:val="BodyText"/>
    <w:link w:val="Heading4Char"/>
    <w:qFormat/>
    <w:rsid w:val="000D0DF9"/>
    <w:pPr>
      <w:spacing w:before="160" w:after="120"/>
      <w:outlineLvl w:val="3"/>
    </w:pPr>
    <w:rPr>
      <w:sz w:val="22"/>
    </w:rPr>
  </w:style>
  <w:style w:type="paragraph" w:styleId="Heading5">
    <w:name w:val="heading 5"/>
    <w:basedOn w:val="HeadingBase"/>
    <w:next w:val="Normal"/>
    <w:link w:val="Heading5Char"/>
    <w:qFormat/>
    <w:rsid w:val="000D0DF9"/>
    <w:pPr>
      <w:spacing w:before="80"/>
      <w:outlineLvl w:val="4"/>
    </w:pPr>
    <w:rPr>
      <w:color w:val="918585"/>
      <w:sz w:val="20"/>
    </w:rPr>
  </w:style>
  <w:style w:type="paragraph" w:styleId="Heading6">
    <w:name w:val="heading 6"/>
    <w:basedOn w:val="HeadingBase"/>
    <w:next w:val="Normal"/>
    <w:link w:val="Heading6Char"/>
    <w:qFormat/>
    <w:rsid w:val="000D0DF9"/>
    <w:pPr>
      <w:spacing w:before="60"/>
      <w:outlineLvl w:val="5"/>
    </w:pPr>
    <w:rPr>
      <w:color w:val="918585"/>
      <w:sz w:val="20"/>
    </w:rPr>
  </w:style>
  <w:style w:type="paragraph" w:styleId="Heading7">
    <w:name w:val="heading 7"/>
    <w:basedOn w:val="Normal"/>
    <w:next w:val="Normal"/>
    <w:link w:val="Heading7Char"/>
    <w:qFormat/>
    <w:rsid w:val="000D0DF9"/>
    <w:pPr>
      <w:ind w:left="720"/>
      <w:outlineLvl w:val="6"/>
    </w:pPr>
    <w:rPr>
      <w:i/>
    </w:rPr>
  </w:style>
  <w:style w:type="paragraph" w:styleId="Heading8">
    <w:name w:val="heading 8"/>
    <w:basedOn w:val="Normal"/>
    <w:next w:val="Normal"/>
    <w:link w:val="Heading8Char"/>
    <w:qFormat/>
    <w:rsid w:val="000D0DF9"/>
    <w:pPr>
      <w:ind w:left="720"/>
      <w:outlineLvl w:val="7"/>
    </w:pPr>
    <w:rPr>
      <w:i/>
    </w:rPr>
  </w:style>
  <w:style w:type="paragraph" w:styleId="Heading9">
    <w:name w:val="heading 9"/>
    <w:basedOn w:val="Normal"/>
    <w:next w:val="Normal"/>
    <w:link w:val="Heading9Char"/>
    <w:qFormat/>
    <w:rsid w:val="000D0DF9"/>
    <w:pPr>
      <w:ind w:left="720"/>
      <w:outlineLvl w:val="8"/>
    </w:pPr>
    <w:rPr>
      <w:i/>
    </w:rPr>
  </w:style>
  <w:style w:type="character" w:default="1" w:styleId="DefaultParagraphFont">
    <w:name w:val="Default Paragraph Font"/>
    <w:uiPriority w:val="1"/>
    <w:unhideWhenUsed/>
    <w:rsid w:val="000D0D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0DF9"/>
  </w:style>
  <w:style w:type="character" w:customStyle="1" w:styleId="Heading1Char">
    <w:name w:val="Heading 1 Char"/>
    <w:basedOn w:val="DefaultParagraphFont"/>
    <w:link w:val="Heading1"/>
    <w:rsid w:val="000D0DF9"/>
    <w:rPr>
      <w:rFonts w:ascii="Times New Roman" w:eastAsia="Times New Roman" w:hAnsi="Times New Roman" w:cs="Times New Roman"/>
      <w:b/>
      <w:sz w:val="32"/>
      <w:szCs w:val="20"/>
      <w:lang w:eastAsia="en-US"/>
    </w:rPr>
  </w:style>
  <w:style w:type="paragraph" w:styleId="BodyText">
    <w:name w:val="Body Text"/>
    <w:basedOn w:val="Normal"/>
    <w:link w:val="BodyTextChar"/>
    <w:rsid w:val="000D0D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0DF9"/>
    <w:rPr>
      <w:rFonts w:ascii="Times New Roman" w:eastAsia="Times New Roman" w:hAnsi="Times New Roman" w:cs="Times New Roman"/>
      <w:sz w:val="24"/>
      <w:lang w:eastAsia="en-US"/>
    </w:rPr>
  </w:style>
  <w:style w:type="paragraph" w:styleId="ListBullet">
    <w:name w:val="List Bullet"/>
    <w:basedOn w:val="List"/>
    <w:rsid w:val="000D0DF9"/>
    <w:pPr>
      <w:numPr>
        <w:numId w:val="12"/>
      </w:numPr>
      <w:tabs>
        <w:tab w:val="clear" w:pos="340"/>
      </w:tabs>
      <w:spacing w:before="40" w:after="40"/>
    </w:pPr>
  </w:style>
  <w:style w:type="character" w:customStyle="1" w:styleId="SpecialBold">
    <w:name w:val="Special Bold"/>
    <w:basedOn w:val="DefaultParagraphFont"/>
    <w:rsid w:val="000D0DF9"/>
    <w:rPr>
      <w:b/>
      <w:spacing w:val="0"/>
    </w:rPr>
  </w:style>
  <w:style w:type="paragraph" w:styleId="ListBullet2">
    <w:name w:val="List Bullet 2"/>
    <w:basedOn w:val="List2"/>
    <w:rsid w:val="000D0DF9"/>
    <w:pPr>
      <w:numPr>
        <w:numId w:val="13"/>
      </w:numPr>
      <w:tabs>
        <w:tab w:val="clear" w:pos="680"/>
      </w:tabs>
    </w:pPr>
  </w:style>
  <w:style w:type="paragraph" w:customStyle="1" w:styleId="SuperHeading">
    <w:name w:val="SuperHeading"/>
    <w:basedOn w:val="Normal"/>
    <w:rsid w:val="000D0DF9"/>
    <w:pPr>
      <w:spacing w:before="240" w:after="120"/>
      <w:outlineLvl w:val="0"/>
    </w:pPr>
    <w:rPr>
      <w:rFonts w:ascii="Times New Roman" w:hAnsi="Times New Roman"/>
      <w:b/>
      <w:sz w:val="32"/>
    </w:rPr>
  </w:style>
  <w:style w:type="paragraph" w:customStyle="1" w:styleId="AllowPageBreak">
    <w:name w:val="AllowPageBreak"/>
    <w:rsid w:val="000D0D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0D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0D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0D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0D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0D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0D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0D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0DF9"/>
    <w:rPr>
      <w:rFonts w:ascii="Courier New" w:eastAsia="Times New Roman" w:hAnsi="Courier New" w:cs="Times New Roman"/>
      <w:i/>
      <w:szCs w:val="20"/>
      <w:lang w:eastAsia="en-US"/>
    </w:rPr>
  </w:style>
  <w:style w:type="paragraph" w:customStyle="1" w:styleId="HeadingBase">
    <w:name w:val="Heading Base"/>
    <w:rsid w:val="000D0D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0DF9"/>
    <w:pPr>
      <w:tabs>
        <w:tab w:val="right" w:leader="dot" w:pos="9072"/>
      </w:tabs>
      <w:ind w:left="567"/>
    </w:pPr>
    <w:rPr>
      <w:szCs w:val="22"/>
    </w:rPr>
  </w:style>
  <w:style w:type="paragraph" w:customStyle="1" w:styleId="TOCBase">
    <w:name w:val="TOC Base"/>
    <w:rsid w:val="000D0D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0DF9"/>
    <w:pPr>
      <w:tabs>
        <w:tab w:val="right" w:leader="dot" w:pos="9072"/>
      </w:tabs>
      <w:spacing w:before="40" w:after="40"/>
      <w:ind w:left="284"/>
    </w:pPr>
    <w:rPr>
      <w:rFonts w:ascii="Times New Roman" w:hAnsi="Times New Roman"/>
    </w:rPr>
  </w:style>
  <w:style w:type="paragraph" w:styleId="TOC1">
    <w:name w:val="toc 1"/>
    <w:basedOn w:val="TOCBase"/>
    <w:next w:val="Normal"/>
    <w:rsid w:val="000D0D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0D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0DF9"/>
    <w:rPr>
      <w:rFonts w:ascii="Times New Roman" w:eastAsia="Times New Roman" w:hAnsi="Times New Roman" w:cs="Times New Roman"/>
      <w:sz w:val="16"/>
      <w:lang w:eastAsia="en-US"/>
    </w:rPr>
  </w:style>
  <w:style w:type="paragraph" w:styleId="Title">
    <w:name w:val="Title"/>
    <w:basedOn w:val="HeadingBase"/>
    <w:link w:val="TitleChar"/>
    <w:qFormat/>
    <w:rsid w:val="000D0DF9"/>
    <w:pPr>
      <w:spacing w:before="5040"/>
      <w:jc w:val="center"/>
    </w:pPr>
    <w:rPr>
      <w:sz w:val="48"/>
      <w:szCs w:val="72"/>
      <w:lang w:val="en-US"/>
    </w:rPr>
  </w:style>
  <w:style w:type="character" w:customStyle="1" w:styleId="TitleChar">
    <w:name w:val="Title Char"/>
    <w:basedOn w:val="DefaultParagraphFont"/>
    <w:link w:val="Title"/>
    <w:rsid w:val="000D0D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0DF9"/>
    <w:pPr>
      <w:tabs>
        <w:tab w:val="left" w:pos="3600"/>
        <w:tab w:val="left" w:pos="3958"/>
      </w:tabs>
    </w:pPr>
  </w:style>
  <w:style w:type="paragraph" w:styleId="List">
    <w:name w:val="List"/>
    <w:basedOn w:val="BodyText"/>
    <w:next w:val="BodyText"/>
    <w:rsid w:val="000D0DF9"/>
    <w:pPr>
      <w:tabs>
        <w:tab w:val="left" w:pos="340"/>
      </w:tabs>
      <w:spacing w:before="60" w:after="60"/>
      <w:ind w:left="340" w:hanging="340"/>
    </w:pPr>
  </w:style>
  <w:style w:type="paragraph" w:customStyle="1" w:styleId="Note">
    <w:name w:val="Note"/>
    <w:basedOn w:val="BodyText"/>
    <w:rsid w:val="000D0D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0DF9"/>
    <w:pPr>
      <w:framePr w:wrap="auto" w:hAnchor="text" w:y="6049"/>
    </w:pPr>
    <w:rPr>
      <w:color w:val="000000"/>
      <w:sz w:val="40"/>
    </w:rPr>
  </w:style>
  <w:style w:type="paragraph" w:customStyle="1" w:styleId="TOCTitle">
    <w:name w:val="TOCTitle"/>
    <w:basedOn w:val="Heading1"/>
    <w:rsid w:val="000D0DF9"/>
    <w:pPr>
      <w:spacing w:after="240"/>
      <w:jc w:val="center"/>
      <w:outlineLvl w:val="9"/>
    </w:pPr>
    <w:rPr>
      <w:caps/>
    </w:rPr>
  </w:style>
  <w:style w:type="paragraph" w:customStyle="1" w:styleId="Version">
    <w:name w:val="Version"/>
    <w:rsid w:val="000D0D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0DF9"/>
    <w:pPr>
      <w:keepNext w:val="0"/>
      <w:tabs>
        <w:tab w:val="right" w:pos="4176"/>
      </w:tabs>
      <w:ind w:left="198" w:hanging="198"/>
    </w:pPr>
    <w:rPr>
      <w:rFonts w:ascii="Garamond" w:hAnsi="Garamond"/>
    </w:rPr>
  </w:style>
  <w:style w:type="paragraph" w:styleId="IndexHeading">
    <w:name w:val="index heading"/>
    <w:basedOn w:val="Normal"/>
    <w:next w:val="Index1"/>
    <w:semiHidden/>
    <w:rsid w:val="000D0DF9"/>
    <w:pPr>
      <w:spacing w:before="120" w:after="120"/>
    </w:pPr>
    <w:rPr>
      <w:rFonts w:ascii="Arial" w:hAnsi="Arial"/>
      <w:b/>
      <w:color w:val="918585"/>
      <w:sz w:val="24"/>
    </w:rPr>
  </w:style>
  <w:style w:type="paragraph" w:styleId="Header">
    <w:name w:val="header"/>
    <w:basedOn w:val="Normal"/>
    <w:link w:val="HeaderChar"/>
    <w:rsid w:val="000D0D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0DF9"/>
    <w:rPr>
      <w:rFonts w:ascii="Times New Roman" w:eastAsia="Times New Roman" w:hAnsi="Times New Roman" w:cs="Times New Roman"/>
      <w:sz w:val="16"/>
      <w:szCs w:val="20"/>
      <w:lang w:val="en-GB" w:eastAsia="en-US"/>
    </w:rPr>
  </w:style>
  <w:style w:type="paragraph" w:customStyle="1" w:styleId="Chapter">
    <w:name w:val="Chapter"/>
    <w:basedOn w:val="Normal"/>
    <w:rsid w:val="000D0DF9"/>
    <w:pPr>
      <w:spacing w:before="240"/>
    </w:pPr>
    <w:rPr>
      <w:rFonts w:ascii="Times New Roman" w:hAnsi="Times New Roman"/>
      <w:smallCaps/>
      <w:spacing w:val="80"/>
      <w:sz w:val="28"/>
    </w:rPr>
  </w:style>
  <w:style w:type="paragraph" w:customStyle="1" w:styleId="InChapter">
    <w:name w:val="InChapter"/>
    <w:basedOn w:val="Heading3"/>
    <w:rsid w:val="000D0DF9"/>
    <w:pPr>
      <w:spacing w:after="240"/>
      <w:outlineLvl w:val="9"/>
    </w:pPr>
    <w:rPr>
      <w:noProof/>
    </w:rPr>
  </w:style>
  <w:style w:type="paragraph" w:styleId="Index2">
    <w:name w:val="index 2"/>
    <w:basedOn w:val="Normal"/>
    <w:next w:val="Normal"/>
    <w:semiHidden/>
    <w:rsid w:val="000D0DF9"/>
    <w:pPr>
      <w:tabs>
        <w:tab w:val="right" w:pos="4176"/>
      </w:tabs>
      <w:ind w:left="568" w:hanging="284"/>
    </w:pPr>
    <w:rPr>
      <w:rFonts w:ascii="Garamond" w:hAnsi="Garamond"/>
    </w:rPr>
  </w:style>
  <w:style w:type="paragraph" w:customStyle="1" w:styleId="Byline">
    <w:name w:val="Byline"/>
    <w:rsid w:val="000D0D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0DF9"/>
    <w:pPr>
      <w:tabs>
        <w:tab w:val="clear" w:pos="3600"/>
        <w:tab w:val="clear" w:pos="3958"/>
      </w:tabs>
      <w:jc w:val="right"/>
    </w:pPr>
  </w:style>
  <w:style w:type="character" w:styleId="Emphasis">
    <w:name w:val="Emphasis"/>
    <w:basedOn w:val="DefaultParagraphFont"/>
    <w:qFormat/>
    <w:rsid w:val="000D0DF9"/>
    <w:rPr>
      <w:i/>
    </w:rPr>
  </w:style>
  <w:style w:type="paragraph" w:styleId="Caption">
    <w:name w:val="caption"/>
    <w:basedOn w:val="BodyText"/>
    <w:next w:val="Normal"/>
    <w:qFormat/>
    <w:rsid w:val="000D0DF9"/>
    <w:pPr>
      <w:framePr w:w="2268" w:hSpace="181" w:vSpace="181" w:wrap="around" w:vAnchor="text" w:hAnchor="page" w:x="1135" w:y="285" w:anchorLock="1"/>
    </w:pPr>
    <w:rPr>
      <w:i/>
    </w:rPr>
  </w:style>
  <w:style w:type="paragraph" w:customStyle="1" w:styleId="MiniTOCTitle">
    <w:name w:val="MiniTOCTitle"/>
    <w:basedOn w:val="Heading4"/>
    <w:rsid w:val="000D0DF9"/>
    <w:pPr>
      <w:spacing w:before="240"/>
      <w:outlineLvl w:val="9"/>
    </w:pPr>
    <w:rPr>
      <w:noProof/>
      <w:sz w:val="24"/>
    </w:rPr>
  </w:style>
  <w:style w:type="paragraph" w:customStyle="1" w:styleId="MiniTOCItem">
    <w:name w:val="MiniTOCItem"/>
    <w:basedOn w:val="ListBullet"/>
    <w:rsid w:val="000D0DF9"/>
    <w:pPr>
      <w:numPr>
        <w:numId w:val="0"/>
      </w:numPr>
      <w:tabs>
        <w:tab w:val="right" w:leader="dot" w:pos="6521"/>
      </w:tabs>
      <w:spacing w:before="0" w:after="0"/>
    </w:pPr>
  </w:style>
  <w:style w:type="paragraph" w:customStyle="1" w:styleId="TOFTitle">
    <w:name w:val="TOFTitle"/>
    <w:basedOn w:val="TOCTitle"/>
    <w:rsid w:val="000D0DF9"/>
  </w:style>
  <w:style w:type="paragraph" w:styleId="TableofFigures">
    <w:name w:val="table of figures"/>
    <w:basedOn w:val="Normal"/>
    <w:next w:val="Normal"/>
    <w:semiHidden/>
    <w:rsid w:val="000D0DF9"/>
    <w:pPr>
      <w:tabs>
        <w:tab w:val="right" w:leader="dot" w:pos="9072"/>
      </w:tabs>
      <w:ind w:left="970" w:hanging="403"/>
    </w:pPr>
    <w:rPr>
      <w:rFonts w:ascii="Times New Roman" w:hAnsi="Times New Roman"/>
      <w:b/>
    </w:rPr>
  </w:style>
  <w:style w:type="paragraph" w:styleId="ListNumber">
    <w:name w:val="List Number"/>
    <w:basedOn w:val="List"/>
    <w:rsid w:val="000D0DF9"/>
    <w:pPr>
      <w:numPr>
        <w:numId w:val="15"/>
      </w:numPr>
      <w:tabs>
        <w:tab w:val="clear" w:pos="340"/>
      </w:tabs>
    </w:pPr>
  </w:style>
  <w:style w:type="character" w:customStyle="1" w:styleId="WingdingSymbols">
    <w:name w:val="Wingding Symbols"/>
    <w:rsid w:val="000D0DF9"/>
    <w:rPr>
      <w:rFonts w:ascii="Wingdings" w:hAnsi="Wingdings"/>
    </w:rPr>
  </w:style>
  <w:style w:type="paragraph" w:customStyle="1" w:styleId="TableHeading">
    <w:name w:val="Table Heading"/>
    <w:basedOn w:val="HeadingBase"/>
    <w:rsid w:val="000D0DF9"/>
    <w:pPr>
      <w:keepLines/>
      <w:pBdr>
        <w:bottom w:val="single" w:sz="6" w:space="1" w:color="918585"/>
      </w:pBdr>
      <w:spacing w:before="240"/>
    </w:pPr>
  </w:style>
  <w:style w:type="character" w:customStyle="1" w:styleId="HotSpot">
    <w:name w:val="HotSpot"/>
    <w:rsid w:val="000D0DF9"/>
    <w:rPr>
      <w:color w:val="0033CC"/>
      <w:u w:val="none"/>
    </w:rPr>
  </w:style>
  <w:style w:type="paragraph" w:customStyle="1" w:styleId="BodyTextRight">
    <w:name w:val="Body Text Right"/>
    <w:basedOn w:val="BodyText"/>
    <w:rsid w:val="000D0DF9"/>
    <w:pPr>
      <w:spacing w:before="0" w:after="0"/>
      <w:jc w:val="right"/>
    </w:pPr>
  </w:style>
  <w:style w:type="paragraph" w:styleId="Index3">
    <w:name w:val="index 3"/>
    <w:basedOn w:val="ListNumber2"/>
    <w:next w:val="Normal"/>
    <w:semiHidden/>
    <w:rsid w:val="000D0DF9"/>
    <w:pPr>
      <w:numPr>
        <w:numId w:val="0"/>
      </w:numPr>
      <w:tabs>
        <w:tab w:val="right" w:leader="dot" w:pos="4176"/>
      </w:tabs>
    </w:pPr>
  </w:style>
  <w:style w:type="paragraph" w:styleId="ListNumber2">
    <w:name w:val="List Number 2"/>
    <w:basedOn w:val="List2"/>
    <w:rsid w:val="000D0DF9"/>
    <w:pPr>
      <w:numPr>
        <w:numId w:val="10"/>
      </w:numPr>
      <w:tabs>
        <w:tab w:val="clear" w:pos="1060"/>
      </w:tabs>
    </w:pPr>
  </w:style>
  <w:style w:type="paragraph" w:customStyle="1" w:styleId="MarginNote">
    <w:name w:val="Margin Note"/>
    <w:basedOn w:val="BodyText"/>
    <w:rsid w:val="000D0D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0D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0D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0DF9"/>
    <w:rPr>
      <w:sz w:val="32"/>
    </w:rPr>
  </w:style>
  <w:style w:type="paragraph" w:customStyle="1" w:styleId="HeadingProcedure">
    <w:name w:val="Heading Procedure"/>
    <w:basedOn w:val="HeadingBase"/>
    <w:next w:val="Normal"/>
    <w:rsid w:val="000D0DF9"/>
    <w:pPr>
      <w:tabs>
        <w:tab w:val="left" w:pos="0"/>
      </w:tabs>
      <w:spacing w:before="120" w:after="60"/>
    </w:pPr>
    <w:rPr>
      <w:i/>
      <w:color w:val="918585"/>
      <w:sz w:val="22"/>
    </w:rPr>
  </w:style>
  <w:style w:type="paragraph" w:customStyle="1" w:styleId="TableBodyText">
    <w:name w:val="Table Body Text"/>
    <w:basedOn w:val="BodyText"/>
    <w:rsid w:val="000D0DF9"/>
    <w:pPr>
      <w:spacing w:before="60" w:after="60"/>
    </w:pPr>
  </w:style>
  <w:style w:type="paragraph" w:styleId="ListContinue">
    <w:name w:val="List Continue"/>
    <w:basedOn w:val="List"/>
    <w:rsid w:val="000D0DF9"/>
    <w:pPr>
      <w:ind w:firstLine="0"/>
    </w:pPr>
  </w:style>
  <w:style w:type="paragraph" w:customStyle="1" w:styleId="ListNote">
    <w:name w:val="List Note"/>
    <w:basedOn w:val="List"/>
    <w:rsid w:val="000D0DF9"/>
    <w:pPr>
      <w:pBdr>
        <w:top w:val="single" w:sz="6" w:space="2" w:color="918585"/>
        <w:bottom w:val="single" w:sz="6" w:space="2" w:color="918585"/>
      </w:pBdr>
      <w:tabs>
        <w:tab w:val="left" w:pos="1021"/>
      </w:tabs>
      <w:ind w:firstLine="0"/>
    </w:pPr>
  </w:style>
  <w:style w:type="paragraph" w:customStyle="1" w:styleId="Warning">
    <w:name w:val="Warning"/>
    <w:basedOn w:val="BodyText"/>
    <w:rsid w:val="000D0DF9"/>
    <w:pPr>
      <w:shd w:val="clear" w:color="auto" w:fill="D9D9D9"/>
      <w:tabs>
        <w:tab w:val="left" w:pos="992"/>
      </w:tabs>
      <w:ind w:left="119" w:right="119"/>
    </w:pPr>
    <w:rPr>
      <w:sz w:val="20"/>
    </w:rPr>
  </w:style>
  <w:style w:type="paragraph" w:customStyle="1" w:styleId="MarginIcons">
    <w:name w:val="Margin Icons"/>
    <w:basedOn w:val="BodyText"/>
    <w:rsid w:val="000D0D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0DF9"/>
    <w:rPr>
      <w:rFonts w:ascii="Courier New" w:hAnsi="Courier New"/>
    </w:rPr>
  </w:style>
  <w:style w:type="paragraph" w:customStyle="1" w:styleId="NoteBullet">
    <w:name w:val="Note Bullet"/>
    <w:basedOn w:val="Note"/>
    <w:rsid w:val="000D0DF9"/>
    <w:pPr>
      <w:tabs>
        <w:tab w:val="clear" w:pos="680"/>
      </w:tabs>
      <w:spacing w:before="60" w:after="60"/>
    </w:pPr>
  </w:style>
  <w:style w:type="paragraph" w:customStyle="1" w:styleId="SubHeading2">
    <w:name w:val="SubHeading2"/>
    <w:basedOn w:val="HeadingBase"/>
    <w:rsid w:val="000D0DF9"/>
    <w:pPr>
      <w:spacing w:before="240" w:after="60"/>
    </w:pPr>
    <w:rPr>
      <w:sz w:val="20"/>
    </w:rPr>
  </w:style>
  <w:style w:type="paragraph" w:customStyle="1" w:styleId="SubHeading1">
    <w:name w:val="SubHeading1"/>
    <w:basedOn w:val="HeadingBase"/>
    <w:rsid w:val="000D0DF9"/>
    <w:pPr>
      <w:spacing w:before="240" w:after="60"/>
    </w:pPr>
    <w:rPr>
      <w:color w:val="918585"/>
      <w:sz w:val="22"/>
    </w:rPr>
  </w:style>
  <w:style w:type="paragraph" w:customStyle="1" w:styleId="SideHeading">
    <w:name w:val="Side Heading"/>
    <w:basedOn w:val="HeadingBase"/>
    <w:rsid w:val="000D0D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0DF9"/>
    <w:pPr>
      <w:tabs>
        <w:tab w:val="num" w:pos="360"/>
      </w:tabs>
    </w:pPr>
  </w:style>
  <w:style w:type="paragraph" w:styleId="PlainText">
    <w:name w:val="Plain Text"/>
    <w:basedOn w:val="Normal"/>
    <w:link w:val="PlainTextChar"/>
    <w:rsid w:val="000D0DF9"/>
    <w:rPr>
      <w:sz w:val="20"/>
    </w:rPr>
  </w:style>
  <w:style w:type="character" w:customStyle="1" w:styleId="PlainTextChar">
    <w:name w:val="Plain Text Char"/>
    <w:basedOn w:val="DefaultParagraphFont"/>
    <w:link w:val="PlainText"/>
    <w:rsid w:val="000D0DF9"/>
    <w:rPr>
      <w:rFonts w:ascii="Courier New" w:eastAsia="Times New Roman" w:hAnsi="Courier New" w:cs="Times New Roman"/>
      <w:sz w:val="20"/>
      <w:szCs w:val="20"/>
      <w:lang w:eastAsia="en-US"/>
    </w:rPr>
  </w:style>
  <w:style w:type="character" w:customStyle="1" w:styleId="MenuOption">
    <w:name w:val="Menu Option"/>
    <w:basedOn w:val="DefaultParagraphFont"/>
    <w:rsid w:val="000D0DF9"/>
    <w:rPr>
      <w:b/>
      <w:smallCaps/>
    </w:rPr>
  </w:style>
  <w:style w:type="paragraph" w:customStyle="1" w:styleId="TableListNumber">
    <w:name w:val="Table List Number"/>
    <w:basedOn w:val="ListNumber"/>
    <w:rsid w:val="000D0DF9"/>
    <w:pPr>
      <w:numPr>
        <w:numId w:val="0"/>
      </w:numPr>
    </w:pPr>
  </w:style>
  <w:style w:type="paragraph" w:styleId="TOC4">
    <w:name w:val="toc 4"/>
    <w:basedOn w:val="TOCBase"/>
    <w:next w:val="Normal"/>
    <w:semiHidden/>
    <w:rsid w:val="000D0DF9"/>
    <w:pPr>
      <w:tabs>
        <w:tab w:val="right" w:leader="dot" w:pos="9071"/>
      </w:tabs>
      <w:ind w:left="1701"/>
    </w:pPr>
  </w:style>
  <w:style w:type="paragraph" w:customStyle="1" w:styleId="ListAlpha">
    <w:name w:val="List Alpha"/>
    <w:basedOn w:val="List"/>
    <w:rsid w:val="000D0DF9"/>
    <w:pPr>
      <w:numPr>
        <w:numId w:val="9"/>
      </w:numPr>
    </w:pPr>
  </w:style>
  <w:style w:type="paragraph" w:customStyle="1" w:styleId="ListAlpha2">
    <w:name w:val="List Alpha 2"/>
    <w:basedOn w:val="List2"/>
    <w:rsid w:val="000D0DF9"/>
    <w:pPr>
      <w:numPr>
        <w:numId w:val="8"/>
      </w:numPr>
    </w:pPr>
  </w:style>
  <w:style w:type="paragraph" w:styleId="List2">
    <w:name w:val="List 2"/>
    <w:basedOn w:val="BodyText"/>
    <w:rsid w:val="000D0DF9"/>
    <w:pPr>
      <w:tabs>
        <w:tab w:val="left" w:pos="680"/>
      </w:tabs>
      <w:spacing w:before="60" w:after="60"/>
      <w:ind w:left="680" w:hanging="340"/>
    </w:pPr>
  </w:style>
  <w:style w:type="paragraph" w:styleId="List3">
    <w:name w:val="List 3"/>
    <w:basedOn w:val="BodyText"/>
    <w:rsid w:val="000D0DF9"/>
    <w:pPr>
      <w:tabs>
        <w:tab w:val="left" w:pos="1021"/>
      </w:tabs>
      <w:spacing w:before="60" w:after="60"/>
      <w:ind w:left="1020" w:hanging="340"/>
    </w:pPr>
  </w:style>
  <w:style w:type="paragraph" w:styleId="List4">
    <w:name w:val="List 4"/>
    <w:basedOn w:val="BodyText"/>
    <w:rsid w:val="000D0DF9"/>
    <w:pPr>
      <w:tabs>
        <w:tab w:val="left" w:pos="1361"/>
      </w:tabs>
      <w:spacing w:before="60" w:after="60"/>
      <w:ind w:left="1361" w:hanging="340"/>
    </w:pPr>
  </w:style>
  <w:style w:type="paragraph" w:styleId="List5">
    <w:name w:val="List 5"/>
    <w:basedOn w:val="BodyText"/>
    <w:rsid w:val="000D0DF9"/>
    <w:pPr>
      <w:tabs>
        <w:tab w:val="left" w:pos="1701"/>
      </w:tabs>
      <w:spacing w:before="60" w:after="60"/>
      <w:ind w:left="1701" w:hanging="340"/>
    </w:pPr>
  </w:style>
  <w:style w:type="paragraph" w:styleId="ListBullet3">
    <w:name w:val="List Bullet 3"/>
    <w:basedOn w:val="List3"/>
    <w:rsid w:val="000D0DF9"/>
    <w:pPr>
      <w:numPr>
        <w:numId w:val="14"/>
      </w:numPr>
      <w:tabs>
        <w:tab w:val="clear" w:pos="1021"/>
      </w:tabs>
      <w:ind w:left="1037" w:hanging="357"/>
    </w:pPr>
  </w:style>
  <w:style w:type="paragraph" w:styleId="ListBullet4">
    <w:name w:val="List Bullet 4"/>
    <w:basedOn w:val="List4"/>
    <w:rsid w:val="000D0DF9"/>
    <w:pPr>
      <w:numPr>
        <w:numId w:val="3"/>
      </w:numPr>
      <w:tabs>
        <w:tab w:val="clear" w:pos="1361"/>
      </w:tabs>
    </w:pPr>
  </w:style>
  <w:style w:type="paragraph" w:styleId="ListBullet5">
    <w:name w:val="List Bullet 5"/>
    <w:basedOn w:val="List5"/>
    <w:rsid w:val="000D0DF9"/>
    <w:pPr>
      <w:numPr>
        <w:numId w:val="4"/>
      </w:numPr>
    </w:pPr>
  </w:style>
  <w:style w:type="paragraph" w:styleId="ListContinue2">
    <w:name w:val="List Continue 2"/>
    <w:basedOn w:val="List2"/>
    <w:rsid w:val="000D0DF9"/>
    <w:pPr>
      <w:ind w:firstLine="0"/>
    </w:pPr>
  </w:style>
  <w:style w:type="paragraph" w:styleId="ListContinue3">
    <w:name w:val="List Continue 3"/>
    <w:basedOn w:val="List3"/>
    <w:rsid w:val="000D0DF9"/>
    <w:pPr>
      <w:ind w:left="1021" w:firstLine="0"/>
    </w:pPr>
  </w:style>
  <w:style w:type="paragraph" w:styleId="ListContinue4">
    <w:name w:val="List Continue 4"/>
    <w:basedOn w:val="List4"/>
    <w:rsid w:val="000D0DF9"/>
    <w:pPr>
      <w:ind w:firstLine="0"/>
    </w:pPr>
  </w:style>
  <w:style w:type="paragraph" w:styleId="ListContinue5">
    <w:name w:val="List Continue 5"/>
    <w:basedOn w:val="List5"/>
    <w:rsid w:val="000D0DF9"/>
    <w:pPr>
      <w:ind w:firstLine="0"/>
    </w:pPr>
  </w:style>
  <w:style w:type="paragraph" w:styleId="ListNumber3">
    <w:name w:val="List Number 3"/>
    <w:basedOn w:val="List3"/>
    <w:rsid w:val="000D0DF9"/>
    <w:pPr>
      <w:numPr>
        <w:numId w:val="5"/>
      </w:numPr>
    </w:pPr>
  </w:style>
  <w:style w:type="paragraph" w:styleId="ListNumber4">
    <w:name w:val="List Number 4"/>
    <w:basedOn w:val="List4"/>
    <w:rsid w:val="000D0DF9"/>
    <w:pPr>
      <w:numPr>
        <w:numId w:val="6"/>
      </w:numPr>
    </w:pPr>
  </w:style>
  <w:style w:type="paragraph" w:styleId="ListNumber5">
    <w:name w:val="List Number 5"/>
    <w:basedOn w:val="List5"/>
    <w:rsid w:val="000D0DF9"/>
    <w:pPr>
      <w:numPr>
        <w:numId w:val="7"/>
      </w:numPr>
    </w:pPr>
  </w:style>
  <w:style w:type="paragraph" w:styleId="BlockText">
    <w:name w:val="Block Text"/>
    <w:basedOn w:val="Normal"/>
    <w:rsid w:val="000D0DF9"/>
    <w:pPr>
      <w:spacing w:after="120"/>
      <w:ind w:left="1440" w:right="1440"/>
    </w:pPr>
  </w:style>
  <w:style w:type="character" w:customStyle="1" w:styleId="Subscript">
    <w:name w:val="Subscript"/>
    <w:basedOn w:val="DefaultParagraphFont"/>
    <w:rsid w:val="000D0DF9"/>
    <w:rPr>
      <w:sz w:val="16"/>
      <w:vertAlign w:val="subscript"/>
    </w:rPr>
  </w:style>
  <w:style w:type="character" w:customStyle="1" w:styleId="Superscript">
    <w:name w:val="Superscript"/>
    <w:basedOn w:val="DefaultParagraphFont"/>
    <w:rsid w:val="000D0DF9"/>
    <w:rPr>
      <w:sz w:val="16"/>
      <w:vertAlign w:val="superscript"/>
    </w:rPr>
  </w:style>
  <w:style w:type="character" w:customStyle="1" w:styleId="Symbols">
    <w:name w:val="Symbols"/>
    <w:basedOn w:val="DefaultParagraphFont"/>
    <w:rsid w:val="000D0DF9"/>
    <w:rPr>
      <w:rFonts w:ascii="Symbol" w:hAnsi="Symbol"/>
    </w:rPr>
  </w:style>
  <w:style w:type="character" w:customStyle="1" w:styleId="MenuOptions">
    <w:name w:val="Menu Options"/>
    <w:basedOn w:val="DefaultParagraphFont"/>
    <w:rsid w:val="000D0DF9"/>
    <w:rPr>
      <w:rFonts w:ascii="Arial Narrow" w:hAnsi="Arial Narrow"/>
      <w:smallCaps/>
    </w:rPr>
  </w:style>
  <w:style w:type="character" w:customStyle="1" w:styleId="Buttons">
    <w:name w:val="Buttons"/>
    <w:basedOn w:val="DefaultParagraphFont"/>
    <w:rsid w:val="000D0DF9"/>
    <w:rPr>
      <w:b/>
    </w:rPr>
  </w:style>
  <w:style w:type="character" w:customStyle="1" w:styleId="Underlined">
    <w:name w:val="Underlined"/>
    <w:basedOn w:val="DefaultParagraphFont"/>
    <w:rsid w:val="000D0DF9"/>
    <w:rPr>
      <w:u w:val="single"/>
    </w:rPr>
  </w:style>
  <w:style w:type="paragraph" w:customStyle="1" w:styleId="TableBodyTextRight">
    <w:name w:val="Table Body Text Right"/>
    <w:basedOn w:val="TableBodyText"/>
    <w:rsid w:val="000D0DF9"/>
    <w:pPr>
      <w:widowControl w:val="0"/>
      <w:autoSpaceDE w:val="0"/>
      <w:autoSpaceDN w:val="0"/>
      <w:adjustRightInd w:val="0"/>
      <w:jc w:val="right"/>
    </w:pPr>
    <w:rPr>
      <w:rFonts w:cs="Arial"/>
      <w:szCs w:val="18"/>
    </w:rPr>
  </w:style>
  <w:style w:type="paragraph" w:customStyle="1" w:styleId="CopyrightText">
    <w:name w:val="Copyright Text"/>
    <w:basedOn w:val="BodyText"/>
    <w:rsid w:val="000D0DF9"/>
    <w:rPr>
      <w:sz w:val="18"/>
    </w:rPr>
  </w:style>
  <w:style w:type="paragraph" w:customStyle="1" w:styleId="BodySmallRight">
    <w:name w:val="Body Small Right"/>
    <w:basedOn w:val="BodyTextRight"/>
    <w:rsid w:val="000D0DF9"/>
    <w:rPr>
      <w:sz w:val="18"/>
      <w:szCs w:val="18"/>
    </w:rPr>
  </w:style>
  <w:style w:type="paragraph" w:customStyle="1" w:styleId="MarginEdition">
    <w:name w:val="Margin Edition"/>
    <w:basedOn w:val="MarginNote"/>
    <w:rsid w:val="000D0DF9"/>
    <w:pPr>
      <w:spacing w:before="0" w:after="0"/>
    </w:pPr>
    <w:rPr>
      <w:rFonts w:ascii="Times New Roman" w:hAnsi="Times New Roman"/>
      <w:color w:val="999999"/>
    </w:rPr>
  </w:style>
  <w:style w:type="paragraph" w:customStyle="1" w:styleId="Spacer">
    <w:name w:val="Spacer"/>
    <w:basedOn w:val="Normal"/>
    <w:rsid w:val="000D0DF9"/>
    <w:rPr>
      <w:sz w:val="2"/>
      <w:szCs w:val="2"/>
    </w:rPr>
  </w:style>
  <w:style w:type="character" w:customStyle="1" w:styleId="Small">
    <w:name w:val="Small"/>
    <w:basedOn w:val="DefaultParagraphFont"/>
    <w:rsid w:val="000D0DF9"/>
    <w:rPr>
      <w:sz w:val="16"/>
    </w:rPr>
  </w:style>
  <w:style w:type="paragraph" w:customStyle="1" w:styleId="WideTable">
    <w:name w:val="Wide Table"/>
    <w:basedOn w:val="Normal"/>
    <w:rsid w:val="000D0DF9"/>
    <w:pPr>
      <w:ind w:left="-1418"/>
    </w:pPr>
    <w:rPr>
      <w:sz w:val="2"/>
      <w:szCs w:val="2"/>
    </w:rPr>
  </w:style>
  <w:style w:type="character" w:styleId="PageNumber">
    <w:name w:val="page number"/>
    <w:basedOn w:val="DefaultParagraphFont"/>
    <w:rsid w:val="000D0DF9"/>
  </w:style>
  <w:style w:type="paragraph" w:styleId="Quote">
    <w:name w:val="Quote"/>
    <w:basedOn w:val="Heading1"/>
    <w:link w:val="QuoteChar"/>
    <w:qFormat/>
    <w:rsid w:val="000D0DF9"/>
    <w:rPr>
      <w:b w:val="0"/>
      <w:sz w:val="72"/>
      <w:szCs w:val="72"/>
      <w:lang w:val="en-NZ"/>
    </w:rPr>
  </w:style>
  <w:style w:type="character" w:customStyle="1" w:styleId="QuoteChar">
    <w:name w:val="Quote Char"/>
    <w:basedOn w:val="DefaultParagraphFont"/>
    <w:link w:val="Quote"/>
    <w:rsid w:val="000D0D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0DF9"/>
    <w:pPr>
      <w:pageBreakBefore/>
    </w:pPr>
  </w:style>
  <w:style w:type="paragraph" w:customStyle="1" w:styleId="Border">
    <w:name w:val="Border"/>
    <w:basedOn w:val="Normal"/>
    <w:qFormat/>
    <w:rsid w:val="000D0D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0DF9"/>
    <w:rPr>
      <w:b/>
      <w:bCs/>
      <w:i/>
      <w:iCs/>
      <w:color w:val="auto"/>
    </w:rPr>
  </w:style>
  <w:style w:type="paragraph" w:styleId="IntenseQuote">
    <w:name w:val="Intense Quote"/>
    <w:basedOn w:val="Normal"/>
    <w:next w:val="Normal"/>
    <w:link w:val="IntenseQuoteChar"/>
    <w:uiPriority w:val="30"/>
    <w:qFormat/>
    <w:rsid w:val="000D0D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0D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0DF9"/>
    <w:rPr>
      <w:smallCaps/>
      <w:color w:val="auto"/>
      <w:u w:val="single"/>
    </w:rPr>
  </w:style>
  <w:style w:type="character" w:styleId="IntenseReference">
    <w:name w:val="Intense Reference"/>
    <w:basedOn w:val="DefaultParagraphFont"/>
    <w:uiPriority w:val="32"/>
    <w:qFormat/>
    <w:rsid w:val="000D0DF9"/>
    <w:rPr>
      <w:b/>
      <w:bCs/>
      <w:smallCaps/>
      <w:color w:val="auto"/>
      <w:spacing w:val="5"/>
      <w:u w:val="single"/>
    </w:rPr>
  </w:style>
  <w:style w:type="paragraph" w:customStyle="1" w:styleId="2ColumnHeading">
    <w:name w:val="2Column Heading"/>
    <w:basedOn w:val="BodyText"/>
    <w:qFormat/>
    <w:rsid w:val="000D0DF9"/>
    <w:pPr>
      <w:spacing w:after="60"/>
      <w:ind w:left="-2268"/>
    </w:pPr>
    <w:rPr>
      <w:b/>
    </w:rPr>
  </w:style>
  <w:style w:type="paragraph" w:customStyle="1" w:styleId="Heading1TOC">
    <w:name w:val="Heading1 TOC"/>
    <w:basedOn w:val="Normal"/>
    <w:qFormat/>
    <w:rsid w:val="000D0DF9"/>
    <w:pPr>
      <w:spacing w:before="240" w:after="120"/>
    </w:pPr>
    <w:rPr>
      <w:rFonts w:ascii="Times New Roman" w:hAnsi="Times New Roman"/>
      <w:b/>
      <w:sz w:val="32"/>
    </w:rPr>
  </w:style>
  <w:style w:type="paragraph" w:customStyle="1" w:styleId="Heading2TOC">
    <w:name w:val="Heading2 TOC"/>
    <w:basedOn w:val="Normal"/>
    <w:qFormat/>
    <w:rsid w:val="000D0DF9"/>
    <w:pPr>
      <w:spacing w:before="240" w:after="60"/>
    </w:pPr>
    <w:rPr>
      <w:rFonts w:ascii="Times New Roman" w:hAnsi="Times New Roman"/>
      <w:b/>
      <w:sz w:val="28"/>
    </w:rPr>
  </w:style>
  <w:style w:type="character" w:customStyle="1" w:styleId="Underline">
    <w:name w:val="Underline"/>
    <w:basedOn w:val="DefaultParagraphFont"/>
    <w:qFormat/>
    <w:rsid w:val="000D0DF9"/>
    <w:rPr>
      <w:u w:val="single"/>
    </w:rPr>
  </w:style>
  <w:style w:type="character" w:customStyle="1" w:styleId="BoldandItalics">
    <w:name w:val="Bold and Italics"/>
    <w:qFormat/>
    <w:rsid w:val="000D0DF9"/>
    <w:rPr>
      <w:b/>
      <w:i/>
      <w:u w:val="none"/>
    </w:rPr>
  </w:style>
  <w:style w:type="paragraph" w:styleId="BalloonText">
    <w:name w:val="Balloon Text"/>
    <w:basedOn w:val="Normal"/>
    <w:link w:val="BalloonTextChar"/>
    <w:rsid w:val="000D0DF9"/>
    <w:rPr>
      <w:rFonts w:ascii="Tahoma" w:hAnsi="Tahoma" w:cs="Tahoma"/>
      <w:sz w:val="16"/>
      <w:szCs w:val="16"/>
    </w:rPr>
  </w:style>
  <w:style w:type="character" w:customStyle="1" w:styleId="BalloonTextChar">
    <w:name w:val="Balloon Text Char"/>
    <w:basedOn w:val="DefaultParagraphFont"/>
    <w:link w:val="BalloonText"/>
    <w:rsid w:val="000D0D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0D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0D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0DF9"/>
    <w:rPr>
      <w:b/>
      <w:color w:val="660033"/>
      <w:spacing w:val="0"/>
    </w:rPr>
  </w:style>
  <w:style w:type="paragraph" w:customStyle="1" w:styleId="Nameditemlist">
    <w:name w:val="Named item list"/>
    <w:basedOn w:val="BodyText"/>
    <w:qFormat/>
    <w:rsid w:val="000D0DF9"/>
    <w:pPr>
      <w:tabs>
        <w:tab w:val="left" w:pos="2835"/>
      </w:tabs>
      <w:ind w:left="2835" w:hanging="2835"/>
    </w:pPr>
  </w:style>
  <w:style w:type="paragraph" w:customStyle="1" w:styleId="BodyTextnopadding">
    <w:name w:val="Body Text no padding"/>
    <w:basedOn w:val="BodyText"/>
    <w:qFormat/>
    <w:rsid w:val="000D0DF9"/>
    <w:pPr>
      <w:spacing w:before="0" w:after="0"/>
    </w:pPr>
  </w:style>
  <w:style w:type="paragraph" w:customStyle="1" w:styleId="BodyTextBold">
    <w:name w:val="Body Text Bold"/>
    <w:basedOn w:val="BodyText"/>
    <w:qFormat/>
    <w:rsid w:val="000D0DF9"/>
    <w:rPr>
      <w:b/>
    </w:rPr>
  </w:style>
  <w:style w:type="character" w:styleId="Hyperlink">
    <w:name w:val="Hyperlink"/>
    <w:basedOn w:val="DefaultParagraphFont"/>
    <w:uiPriority w:val="99"/>
    <w:unhideWhenUsed/>
    <w:rsid w:val="001268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1005</Words>
  <Characters>6787</Characters>
  <Application>Microsoft Office Word</Application>
  <DocSecurity>0</DocSecurity>
  <Lines>339</Lines>
  <Paragraphs>243</Paragraphs>
  <ScaleCrop>false</ScaleCrop>
  <Company>Author-it Software Corporation Ltd.</Company>
  <LinksUpToDate>false</LinksUpToDate>
  <CharactersWithSpaces>7549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MSFFDT4005 Construct and evaluate furniture prototypes and samples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2020-05-07T03:13:00Z</dcterms:created>
  <dcterms:modified xsi:type="dcterms:W3CDTF">2020-05-07T03:13:00Z</dcterms:modified>
</cp:coreProperties>
</file>