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CA8" w:rsidP="00870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MSFFDM5008 Evaluate design proposals and concepts</w:t>
      </w:r>
      <w:r>
        <w:fldChar w:fldCharType="end"/>
      </w:r>
    </w:p>
    <w:p w:rsidR="00870CA8" w:rsidP="00870CA8">
      <w:pPr>
        <w:pStyle w:val="Version"/>
        <w:sectPr w:rsidSect="002A7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2E2" w:rsidP="002A72E2">
      <w:pPr>
        <w:pStyle w:val="SuperHeading"/>
      </w:pPr>
      <w:r w:rsidRPr="002A72E2">
        <w:t>Assessment Requirements for MSFFDM5008 Evaluate design proposals and concepts</w:t>
      </w:r>
    </w:p>
    <w:p w:rsidR="00000000" w:rsidRPr="002A72E2" w:rsidP="002A72E2">
      <w:pPr>
        <w:pStyle w:val="Heading1"/>
      </w:pPr>
      <w:bookmarkStart w:id="1" w:name="O_1109646"/>
      <w:bookmarkEnd w:id="1"/>
      <w:r w:rsidRPr="002A72E2">
        <w:t>Modification History</w:t>
      </w:r>
    </w:p>
    <w:p w:rsidR="00000000" w:rsidRPr="002A72E2" w:rsidP="00870CA8">
      <w:pPr>
        <w:pStyle w:val="BodyText"/>
      </w:pPr>
      <w:r w:rsidRPr="002A72E2">
        <w:t>Release 1. Unit code and title changed. Application changed. Elements and Performance Criteria changed. Assessment Requirements changed. Supersedes and is not equivalent to:</w:t>
      </w:r>
    </w:p>
    <w:p w:rsidR="00000000" w:rsidRPr="002A72E2" w:rsidP="002A72E2">
      <w:pPr>
        <w:pStyle w:val="ListBullet"/>
      </w:pPr>
      <w:r w:rsidRPr="002A72E2">
        <w:t>MSFFDT4004 Assess environmental impact of a design</w:t>
      </w:r>
    </w:p>
    <w:p w:rsidR="00000000" w:rsidRPr="002A72E2" w:rsidP="002A72E2">
      <w:pPr>
        <w:pStyle w:val="ListBullet"/>
      </w:pPr>
      <w:r w:rsidRPr="002A72E2">
        <w:t>MSFFDT4006 Determine work heal</w:t>
      </w:r>
      <w:r w:rsidRPr="002A72E2">
        <w:t>th and safety (WHS) implications of designs</w:t>
      </w:r>
    </w:p>
    <w:p w:rsidR="00000000" w:rsidRPr="002A72E2" w:rsidP="002A72E2">
      <w:pPr>
        <w:pStyle w:val="ListBullet"/>
      </w:pPr>
      <w:r w:rsidRPr="002A72E2">
        <w:t>MSFFDT5002 Assess and resolve technical integrity of a design</w:t>
      </w:r>
    </w:p>
    <w:p w:rsidR="00000000" w:rsidRPr="002A72E2" w:rsidP="002A72E2">
      <w:pPr>
        <w:pStyle w:val="ListBullet"/>
      </w:pPr>
      <w:r w:rsidRPr="002A72E2">
        <w:t>MSFFDT5010 Evaluate furniture design proposals and concepts</w:t>
      </w:r>
    </w:p>
    <w:p w:rsidR="00000000" w:rsidRPr="002A72E2" w:rsidP="002A72E2">
      <w:pPr>
        <w:pStyle w:val="ListBullet"/>
      </w:pPr>
      <w:r w:rsidRPr="002A72E2">
        <w:t>MSFFDT5011 Assess economic impact of a design</w:t>
      </w:r>
    </w:p>
    <w:p w:rsidR="00000000" w:rsidRPr="002A72E2" w:rsidP="002A72E2">
      <w:pPr>
        <w:pStyle w:val="ListBullet"/>
      </w:pPr>
      <w:r w:rsidRPr="002A72E2">
        <w:t>MSFFT5009 Determine production feasibility o</w:t>
      </w:r>
      <w:r w:rsidRPr="002A72E2">
        <w:t>f designs.</w:t>
      </w:r>
    </w:p>
    <w:p w:rsidR="00000000" w:rsidRPr="002A72E2" w:rsidP="002A72E2">
      <w:pPr>
        <w:pStyle w:val="AllowPageBreak"/>
      </w:pPr>
    </w:p>
    <w:p w:rsidR="00000000" w:rsidRPr="002A72E2" w:rsidP="002A72E2">
      <w:pPr>
        <w:pStyle w:val="Heading1"/>
      </w:pPr>
      <w:bookmarkStart w:id="2" w:name="O_1109647"/>
      <w:bookmarkEnd w:id="2"/>
      <w:r w:rsidRPr="002A72E2">
        <w:t>Performance Evidence</w:t>
      </w:r>
    </w:p>
    <w:p w:rsidR="00000000" w:rsidRPr="002A72E2" w:rsidP="00870CA8">
      <w:pPr>
        <w:pStyle w:val="BodyText"/>
      </w:pPr>
      <w:r w:rsidRPr="002A72E2">
        <w:t>There must be evidence the candidate has completed the tasks outlined in the elements and performance criteria of this unit, and demonstrated the ability to:</w:t>
      </w:r>
    </w:p>
    <w:p w:rsidR="00000000" w:rsidRPr="002A72E2" w:rsidP="002A72E2">
      <w:pPr>
        <w:pStyle w:val="ListBullet"/>
      </w:pPr>
      <w:r w:rsidRPr="002A72E2">
        <w:t xml:space="preserve">evaluate three different design proposals and </w:t>
      </w:r>
      <w:r w:rsidRPr="002A72E2">
        <w:t>concepts, that each consider all of the following:</w:t>
      </w:r>
    </w:p>
    <w:p w:rsidR="00000000" w:rsidRPr="002A72E2" w:rsidP="002A72E2">
      <w:pPr>
        <w:pStyle w:val="ListBullet2"/>
      </w:pPr>
      <w:r w:rsidRPr="002A72E2">
        <w:t>adherence to brief</w:t>
      </w:r>
    </w:p>
    <w:p w:rsidR="00000000" w:rsidRPr="002A72E2" w:rsidP="002A72E2">
      <w:pPr>
        <w:pStyle w:val="ListBullet2"/>
      </w:pPr>
      <w:r w:rsidRPr="002A72E2">
        <w:t>design process and its application</w:t>
      </w:r>
    </w:p>
    <w:p w:rsidR="00000000" w:rsidRPr="002A72E2" w:rsidP="002A72E2">
      <w:pPr>
        <w:pStyle w:val="ListBullet2"/>
      </w:pPr>
      <w:r w:rsidRPr="002A72E2">
        <w:t>functionality</w:t>
      </w:r>
    </w:p>
    <w:p w:rsidR="00000000" w:rsidRPr="002A72E2" w:rsidP="002A72E2">
      <w:pPr>
        <w:pStyle w:val="ListBullet2"/>
      </w:pPr>
      <w:r w:rsidRPr="002A72E2">
        <w:t>the application and use of design to meet the elements and principles of design and ergonomics</w:t>
      </w:r>
    </w:p>
    <w:p w:rsidR="00000000" w:rsidRPr="002A72E2" w:rsidP="002A72E2">
      <w:pPr>
        <w:pStyle w:val="ListBullet2"/>
      </w:pPr>
      <w:r w:rsidRPr="002A72E2">
        <w:t>marketability</w:t>
      </w:r>
    </w:p>
    <w:p w:rsidR="00000000" w:rsidRPr="002A72E2" w:rsidP="002A72E2">
      <w:pPr>
        <w:pStyle w:val="ListBullet2"/>
      </w:pPr>
      <w:r w:rsidRPr="002A72E2">
        <w:t>production considerations:</w:t>
      </w:r>
    </w:p>
    <w:p w:rsidR="00000000" w:rsidRPr="002A72E2" w:rsidP="002A72E2">
      <w:pPr>
        <w:pStyle w:val="ListBullet3"/>
      </w:pPr>
      <w:r w:rsidRPr="002A72E2">
        <w:t>materials</w:t>
      </w:r>
    </w:p>
    <w:p w:rsidR="00000000" w:rsidRPr="002A72E2" w:rsidP="002A72E2">
      <w:pPr>
        <w:pStyle w:val="ListBullet3"/>
      </w:pPr>
      <w:r w:rsidRPr="002A72E2">
        <w:t>production process and impacts on overall business operations</w:t>
      </w:r>
    </w:p>
    <w:p w:rsidR="00000000" w:rsidRPr="002A72E2" w:rsidP="002A72E2">
      <w:pPr>
        <w:pStyle w:val="ListBullet3"/>
      </w:pPr>
      <w:r w:rsidRPr="002A72E2">
        <w:t>safety</w:t>
      </w:r>
    </w:p>
    <w:p w:rsidR="00000000" w:rsidRPr="002A72E2" w:rsidP="002A72E2">
      <w:pPr>
        <w:pStyle w:val="ListBullet3"/>
      </w:pPr>
      <w:r w:rsidRPr="002A72E2">
        <w:t>costs</w:t>
      </w:r>
    </w:p>
    <w:p w:rsidR="00000000" w:rsidRPr="002A72E2" w:rsidP="002A72E2">
      <w:pPr>
        <w:pStyle w:val="ListBullet2"/>
      </w:pPr>
      <w:r w:rsidRPr="002A72E2">
        <w:t>profitability</w:t>
      </w:r>
    </w:p>
    <w:p w:rsidR="00000000" w:rsidRPr="002A72E2" w:rsidP="002A72E2">
      <w:pPr>
        <w:pStyle w:val="ListBullet2"/>
      </w:pPr>
      <w:r w:rsidRPr="002A72E2">
        <w:t>sustainability</w:t>
      </w:r>
    </w:p>
    <w:p w:rsidR="00000000" w:rsidRPr="002A72E2" w:rsidP="002A72E2">
      <w:pPr>
        <w:pStyle w:val="ListBullet2"/>
      </w:pPr>
      <w:r w:rsidRPr="002A72E2">
        <w:t>technical integrity.</w:t>
      </w:r>
    </w:p>
    <w:p w:rsidR="00000000" w:rsidRPr="002A72E2" w:rsidP="002A72E2">
      <w:pPr>
        <w:pStyle w:val="AllowPageBreak"/>
      </w:pPr>
    </w:p>
    <w:p w:rsidR="00000000" w:rsidRPr="002A72E2" w:rsidP="002A72E2">
      <w:pPr>
        <w:pStyle w:val="Heading1"/>
      </w:pPr>
      <w:bookmarkStart w:id="3" w:name="O_1109648"/>
      <w:bookmarkEnd w:id="3"/>
      <w:r w:rsidRPr="002A72E2">
        <w:t>Knowledge Evidence</w:t>
      </w:r>
    </w:p>
    <w:p w:rsidR="00000000" w:rsidRPr="002A72E2" w:rsidP="00870CA8">
      <w:pPr>
        <w:pStyle w:val="BodyText"/>
      </w:pPr>
      <w:r w:rsidRPr="002A72E2">
        <w:t>There must be evidence the candidate has knowledge of:</w:t>
      </w:r>
    </w:p>
    <w:p w:rsidR="00000000" w:rsidRPr="002A72E2" w:rsidP="002A72E2">
      <w:pPr>
        <w:pStyle w:val="ListBullet"/>
      </w:pPr>
      <w:r w:rsidRPr="002A72E2">
        <w:t>nature and scope of the design evaluation process:</w:t>
      </w:r>
    </w:p>
    <w:p w:rsidR="00000000" w:rsidRPr="002A72E2" w:rsidP="002A72E2">
      <w:pPr>
        <w:pStyle w:val="ListBullet2"/>
      </w:pPr>
      <w:r w:rsidRPr="002A72E2">
        <w:t>who is involved – roles, responsibilities and interrelationships</w:t>
      </w:r>
    </w:p>
    <w:p w:rsidR="00000000" w:rsidRPr="002A72E2" w:rsidP="002A72E2">
      <w:pPr>
        <w:pStyle w:val="ListBullet2"/>
      </w:pPr>
      <w:r w:rsidRPr="002A72E2">
        <w:t>process and key stages</w:t>
      </w:r>
    </w:p>
    <w:p w:rsidR="00000000" w:rsidRPr="002A72E2" w:rsidP="002A72E2">
      <w:pPr>
        <w:pStyle w:val="ListBullet2"/>
      </w:pPr>
      <w:r w:rsidRPr="002A72E2">
        <w:t>documentation requirements</w:t>
      </w:r>
    </w:p>
    <w:p w:rsidR="00000000" w:rsidRPr="002A72E2" w:rsidP="002A72E2">
      <w:pPr>
        <w:pStyle w:val="ListBullet2"/>
      </w:pPr>
      <w:r w:rsidRPr="002A72E2">
        <w:t>role of collaboration</w:t>
      </w:r>
    </w:p>
    <w:p w:rsidR="00000000" w:rsidRPr="002A72E2" w:rsidP="002A72E2">
      <w:pPr>
        <w:pStyle w:val="ListBullet"/>
      </w:pPr>
      <w:r w:rsidRPr="002A72E2">
        <w:t>elements and principles of design, their interrelationships and ho</w:t>
      </w:r>
      <w:r w:rsidRPr="002A72E2">
        <w:t xml:space="preserve">w they can be used to create good design </w:t>
      </w:r>
    </w:p>
    <w:p w:rsidR="00000000" w:rsidRPr="002A72E2" w:rsidP="002A72E2">
      <w:pPr>
        <w:pStyle w:val="ListBullet"/>
      </w:pPr>
      <w:r w:rsidRPr="002A72E2">
        <w:t>how to establish evaluation criteria against which a design needs to be evaluated and key considerations:</w:t>
      </w:r>
    </w:p>
    <w:p w:rsidR="00000000" w:rsidRPr="002A72E2" w:rsidP="002A72E2">
      <w:pPr>
        <w:pStyle w:val="ListBullet2"/>
      </w:pPr>
      <w:r w:rsidRPr="002A72E2">
        <w:t>adherence to brief</w:t>
      </w:r>
    </w:p>
    <w:p w:rsidR="00000000" w:rsidRPr="002A72E2" w:rsidP="002A72E2">
      <w:pPr>
        <w:pStyle w:val="ListBullet2"/>
      </w:pPr>
      <w:r w:rsidRPr="002A72E2">
        <w:t>compliance</w:t>
      </w:r>
    </w:p>
    <w:p w:rsidR="00000000" w:rsidRPr="002A72E2" w:rsidP="002A72E2">
      <w:pPr>
        <w:pStyle w:val="ListBullet2"/>
      </w:pPr>
      <w:r w:rsidRPr="002A72E2">
        <w:t>design process and its application</w:t>
      </w:r>
    </w:p>
    <w:p w:rsidR="00000000" w:rsidRPr="002A72E2" w:rsidP="002A72E2">
      <w:pPr>
        <w:pStyle w:val="ListBullet2"/>
      </w:pPr>
      <w:r w:rsidRPr="002A72E2">
        <w:t>functionality</w:t>
      </w:r>
    </w:p>
    <w:p w:rsidR="00000000" w:rsidRPr="002A72E2" w:rsidP="002A72E2">
      <w:pPr>
        <w:pStyle w:val="ListBullet2"/>
      </w:pPr>
      <w:r w:rsidRPr="002A72E2">
        <w:t>profitability</w:t>
      </w:r>
    </w:p>
    <w:p w:rsidR="00000000" w:rsidRPr="002A72E2" w:rsidP="002A72E2">
      <w:pPr>
        <w:pStyle w:val="ListBullet2"/>
      </w:pPr>
      <w:r w:rsidRPr="002A72E2">
        <w:t xml:space="preserve">application of elements and principles of design </w:t>
      </w:r>
    </w:p>
    <w:p w:rsidR="00000000" w:rsidRPr="002A72E2" w:rsidP="002A72E2">
      <w:pPr>
        <w:pStyle w:val="ListBullet2"/>
      </w:pPr>
      <w:r w:rsidRPr="002A72E2">
        <w:t>production considerations</w:t>
      </w:r>
    </w:p>
    <w:p w:rsidR="00000000" w:rsidRPr="002A72E2" w:rsidP="002A72E2">
      <w:pPr>
        <w:pStyle w:val="ListBullet2"/>
      </w:pPr>
      <w:r w:rsidRPr="002A72E2">
        <w:t>marketability</w:t>
      </w:r>
    </w:p>
    <w:p w:rsidR="00000000" w:rsidRPr="002A72E2" w:rsidP="002A72E2">
      <w:pPr>
        <w:pStyle w:val="ListBullet2"/>
      </w:pPr>
      <w:r w:rsidRPr="002A72E2">
        <w:t>sustainability</w:t>
      </w:r>
    </w:p>
    <w:p w:rsidR="00000000" w:rsidRPr="002A72E2" w:rsidP="002A72E2">
      <w:pPr>
        <w:pStyle w:val="ListBullet2"/>
      </w:pPr>
      <w:r w:rsidRPr="002A72E2">
        <w:t>technical integrity</w:t>
      </w:r>
    </w:p>
    <w:p w:rsidR="00000000" w:rsidRPr="002A72E2" w:rsidP="002A72E2">
      <w:pPr>
        <w:pStyle w:val="ListBullet"/>
      </w:pPr>
      <w:r w:rsidRPr="002A72E2">
        <w:t>manufacturing technologies in the relevant industry sector</w:t>
      </w:r>
    </w:p>
    <w:p w:rsidR="00000000" w:rsidRPr="002A72E2" w:rsidP="002A72E2">
      <w:pPr>
        <w:pStyle w:val="ListBullet"/>
      </w:pPr>
      <w:r w:rsidRPr="002A72E2">
        <w:t>processes that support critical analysis and how to use them, including</w:t>
      </w:r>
      <w:r w:rsidRPr="002A72E2">
        <w:t>:</w:t>
      </w:r>
    </w:p>
    <w:p w:rsidR="00000000" w:rsidRPr="002A72E2" w:rsidP="002A72E2">
      <w:pPr>
        <w:pStyle w:val="ListBullet2"/>
      </w:pPr>
      <w:r w:rsidRPr="002A72E2">
        <w:t>comparing</w:t>
      </w:r>
    </w:p>
    <w:p w:rsidR="00000000" w:rsidRPr="002A72E2" w:rsidP="002A72E2">
      <w:pPr>
        <w:pStyle w:val="ListBullet2"/>
      </w:pPr>
      <w:r w:rsidRPr="002A72E2">
        <w:t>contrasting</w:t>
      </w:r>
    </w:p>
    <w:p w:rsidR="00000000" w:rsidRPr="002A72E2" w:rsidP="002A72E2">
      <w:pPr>
        <w:pStyle w:val="ListBullet2"/>
      </w:pPr>
      <w:r w:rsidRPr="002A72E2">
        <w:t>reflecting</w:t>
      </w:r>
    </w:p>
    <w:p w:rsidR="00000000" w:rsidRPr="002A72E2" w:rsidP="002A72E2">
      <w:pPr>
        <w:pStyle w:val="ListBullet2"/>
      </w:pPr>
      <w:r w:rsidRPr="002A72E2">
        <w:t>distinguishing relevant from irrelevant.</w:t>
      </w:r>
    </w:p>
    <w:p w:rsidR="00000000" w:rsidRPr="002A72E2" w:rsidP="002A72E2">
      <w:pPr>
        <w:pStyle w:val="AllowPageBreak"/>
      </w:pPr>
    </w:p>
    <w:p w:rsidR="00000000" w:rsidRPr="002A72E2" w:rsidP="002A72E2">
      <w:pPr>
        <w:pStyle w:val="Heading1"/>
      </w:pPr>
      <w:bookmarkStart w:id="4" w:name="O_1109649"/>
      <w:bookmarkEnd w:id="4"/>
      <w:r w:rsidRPr="002A72E2">
        <w:t>Assessment Conditions</w:t>
      </w:r>
    </w:p>
    <w:p w:rsidR="00000000" w:rsidRPr="002A72E2" w:rsidP="00870CA8">
      <w:pPr>
        <w:pStyle w:val="BodyText"/>
      </w:pPr>
      <w:r w:rsidRPr="002A72E2">
        <w:t>Skills must have been demonstrated in the workplace or in a simulated environment that reflects workplace conditions and contingencies. Th</w:t>
      </w:r>
      <w:r w:rsidRPr="002A72E2">
        <w:t xml:space="preserve">e following conditions must be met for this unit: </w:t>
      </w:r>
    </w:p>
    <w:p w:rsidR="00000000" w:rsidRPr="002A72E2" w:rsidP="002A72E2">
      <w:pPr>
        <w:pStyle w:val="ListBullet"/>
      </w:pPr>
      <w:r w:rsidRPr="002A72E2">
        <w:t xml:space="preserve">use of suitable facilities, equipment and resources, including: </w:t>
      </w:r>
    </w:p>
    <w:p w:rsidR="00000000" w:rsidRPr="002A72E2" w:rsidP="002A72E2">
      <w:pPr>
        <w:pStyle w:val="ListBullet2"/>
      </w:pPr>
      <w:r w:rsidRPr="002A72E2">
        <w:t>design briefs</w:t>
      </w:r>
    </w:p>
    <w:p w:rsidR="00000000" w:rsidRPr="002A72E2" w:rsidP="002A72E2">
      <w:pPr>
        <w:pStyle w:val="ListBullet2"/>
      </w:pPr>
      <w:r w:rsidRPr="002A72E2">
        <w:t>proposed designs.</w:t>
      </w:r>
    </w:p>
    <w:p w:rsidR="00000000" w:rsidRPr="002A72E2" w:rsidP="00870CA8">
      <w:pPr>
        <w:pStyle w:val="BodyText"/>
      </w:pPr>
      <w:r w:rsidRPr="002A72E2">
        <w:t>Assessors must satisfy the NVR/AQTF mandatory competency requirements for assessors.</w:t>
      </w:r>
    </w:p>
    <w:p w:rsidR="00000000" w:rsidRPr="002A72E2" w:rsidP="002A72E2">
      <w:pPr>
        <w:pStyle w:val="Heading1"/>
      </w:pPr>
      <w:bookmarkStart w:id="5" w:name="O_1109652"/>
      <w:bookmarkEnd w:id="5"/>
      <w:r w:rsidRPr="002A72E2">
        <w:t>Links</w:t>
      </w:r>
    </w:p>
    <w:p w:rsidR="00000000" w:rsidRPr="002A72E2" w:rsidP="00870CA8">
      <w:pPr>
        <w:pStyle w:val="BodyText"/>
      </w:pPr>
      <w:r w:rsidRPr="002A7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6D3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72E2" w:rsidP="002A72E2"/>
    <w:sectPr w:rsidSect="002A72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2" w:rsidRPr="00870CA8" w:rsidP="00870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A8" w:rsidP="002A7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CA8" w:rsidP="002A7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0CA8" w:rsidP="002A7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2E2" w:rsidRPr="00870CA8" w:rsidP="00870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A8" w:rsidRPr="002D2AF8" w:rsidP="002A7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MSFFDM5008 Evaluate design proposals and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70CA8" w:rsidP="002A7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BCC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63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B0B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2E2"/>
  </w:style>
  <w:style w:type="character" w:customStyle="1" w:styleId="Heading1Char">
    <w:name w:val="Heading 1 Char"/>
    <w:basedOn w:val="DefaultParagraphFont"/>
    <w:link w:val="Heading1"/>
    <w:rsid w:val="002A7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2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2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72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72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7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2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72E2"/>
    <w:rPr>
      <w:b/>
      <w:spacing w:val="0"/>
    </w:rPr>
  </w:style>
  <w:style w:type="paragraph" w:customStyle="1" w:styleId="SuperTitle">
    <w:name w:val="SuperTitle"/>
    <w:basedOn w:val="Title"/>
    <w:rsid w:val="002A7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2E2"/>
    <w:rPr>
      <w:i/>
    </w:rPr>
  </w:style>
  <w:style w:type="paragraph" w:styleId="Caption">
    <w:name w:val="caption"/>
    <w:basedOn w:val="BodyText"/>
    <w:next w:val="Normal"/>
    <w:qFormat/>
    <w:rsid w:val="002A7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2E2"/>
  </w:style>
  <w:style w:type="paragraph" w:styleId="TableofFigures">
    <w:name w:val="table of figures"/>
    <w:basedOn w:val="Normal"/>
    <w:next w:val="Normal"/>
    <w:semiHidden/>
    <w:rsid w:val="002A7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2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72E2"/>
    <w:rPr>
      <w:rFonts w:ascii="Wingdings" w:hAnsi="Wingdings"/>
    </w:rPr>
  </w:style>
  <w:style w:type="paragraph" w:customStyle="1" w:styleId="TableHeading">
    <w:name w:val="Table Heading"/>
    <w:basedOn w:val="HeadingBase"/>
    <w:rsid w:val="002A7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2E2"/>
    <w:rPr>
      <w:color w:val="0033CC"/>
      <w:u w:val="none"/>
    </w:rPr>
  </w:style>
  <w:style w:type="paragraph" w:customStyle="1" w:styleId="BodyTextRight">
    <w:name w:val="Body Text Right"/>
    <w:basedOn w:val="BodyText"/>
    <w:rsid w:val="002A7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2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2E2"/>
    <w:rPr>
      <w:sz w:val="32"/>
    </w:rPr>
  </w:style>
  <w:style w:type="paragraph" w:customStyle="1" w:styleId="HeadingProcedure">
    <w:name w:val="Heading Procedure"/>
    <w:basedOn w:val="HeadingBase"/>
    <w:next w:val="Normal"/>
    <w:rsid w:val="002A7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2E2"/>
    <w:pPr>
      <w:spacing w:before="60" w:after="60"/>
    </w:pPr>
  </w:style>
  <w:style w:type="paragraph" w:styleId="ListContinue">
    <w:name w:val="List Continue"/>
    <w:basedOn w:val="List"/>
    <w:rsid w:val="002A72E2"/>
    <w:pPr>
      <w:ind w:firstLine="0"/>
    </w:pPr>
  </w:style>
  <w:style w:type="paragraph" w:customStyle="1" w:styleId="ListNote">
    <w:name w:val="List Note"/>
    <w:basedOn w:val="List"/>
    <w:rsid w:val="002A7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2E2"/>
    <w:rPr>
      <w:rFonts w:ascii="Courier New" w:hAnsi="Courier New"/>
    </w:rPr>
  </w:style>
  <w:style w:type="paragraph" w:customStyle="1" w:styleId="NoteBullet">
    <w:name w:val="Note Bullet"/>
    <w:basedOn w:val="Note"/>
    <w:rsid w:val="002A7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2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7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2E2"/>
    <w:rPr>
      <w:b/>
      <w:smallCaps/>
    </w:rPr>
  </w:style>
  <w:style w:type="paragraph" w:customStyle="1" w:styleId="TableListNumber">
    <w:name w:val="Table List Number"/>
    <w:basedOn w:val="ListNumber"/>
    <w:rsid w:val="002A7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2E2"/>
    <w:pPr>
      <w:numPr>
        <w:numId w:val="10"/>
      </w:numPr>
    </w:pPr>
  </w:style>
  <w:style w:type="paragraph" w:customStyle="1" w:styleId="ListAlpha2">
    <w:name w:val="List Alpha 2"/>
    <w:basedOn w:val="List2"/>
    <w:rsid w:val="002A72E2"/>
    <w:pPr>
      <w:numPr>
        <w:numId w:val="9"/>
      </w:numPr>
    </w:pPr>
  </w:style>
  <w:style w:type="paragraph" w:styleId="List2">
    <w:name w:val="List 2"/>
    <w:basedOn w:val="BodyText"/>
    <w:rsid w:val="002A7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2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72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72E2"/>
    <w:pPr>
      <w:numPr>
        <w:numId w:val="5"/>
      </w:numPr>
    </w:pPr>
  </w:style>
  <w:style w:type="paragraph" w:styleId="ListContinue2">
    <w:name w:val="List Continue 2"/>
    <w:basedOn w:val="List2"/>
    <w:rsid w:val="002A72E2"/>
    <w:pPr>
      <w:ind w:firstLine="0"/>
    </w:pPr>
  </w:style>
  <w:style w:type="paragraph" w:styleId="ListContinue3">
    <w:name w:val="List Continue 3"/>
    <w:basedOn w:val="List3"/>
    <w:rsid w:val="002A72E2"/>
    <w:pPr>
      <w:ind w:left="1021" w:firstLine="0"/>
    </w:pPr>
  </w:style>
  <w:style w:type="paragraph" w:styleId="ListContinue4">
    <w:name w:val="List Continue 4"/>
    <w:basedOn w:val="List4"/>
    <w:rsid w:val="002A72E2"/>
    <w:pPr>
      <w:ind w:firstLine="0"/>
    </w:pPr>
  </w:style>
  <w:style w:type="paragraph" w:styleId="ListContinue5">
    <w:name w:val="List Continue 5"/>
    <w:basedOn w:val="List5"/>
    <w:rsid w:val="002A72E2"/>
    <w:pPr>
      <w:ind w:firstLine="0"/>
    </w:pPr>
  </w:style>
  <w:style w:type="paragraph" w:styleId="ListNumber3">
    <w:name w:val="List Number 3"/>
    <w:basedOn w:val="List3"/>
    <w:rsid w:val="002A72E2"/>
    <w:pPr>
      <w:numPr>
        <w:numId w:val="6"/>
      </w:numPr>
    </w:pPr>
  </w:style>
  <w:style w:type="paragraph" w:styleId="ListNumber4">
    <w:name w:val="List Number 4"/>
    <w:basedOn w:val="List4"/>
    <w:rsid w:val="002A72E2"/>
    <w:pPr>
      <w:numPr>
        <w:numId w:val="7"/>
      </w:numPr>
    </w:pPr>
  </w:style>
  <w:style w:type="paragraph" w:styleId="ListNumber5">
    <w:name w:val="List Number 5"/>
    <w:basedOn w:val="List5"/>
    <w:rsid w:val="002A72E2"/>
    <w:pPr>
      <w:numPr>
        <w:numId w:val="8"/>
      </w:numPr>
    </w:pPr>
  </w:style>
  <w:style w:type="paragraph" w:styleId="BlockText">
    <w:name w:val="Block Text"/>
    <w:basedOn w:val="Normal"/>
    <w:rsid w:val="002A7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2E2"/>
    <w:rPr>
      <w:sz w:val="16"/>
      <w:vertAlign w:val="superscript"/>
    </w:rPr>
  </w:style>
  <w:style w:type="character" w:customStyle="1" w:styleId="Symbols">
    <w:name w:val="Symbols"/>
    <w:basedOn w:val="DefaultParagraphFont"/>
    <w:rsid w:val="002A72E2"/>
    <w:rPr>
      <w:rFonts w:ascii="Symbol" w:hAnsi="Symbol"/>
    </w:rPr>
  </w:style>
  <w:style w:type="character" w:customStyle="1" w:styleId="MenuOptions">
    <w:name w:val="Menu Options"/>
    <w:basedOn w:val="DefaultParagraphFont"/>
    <w:rsid w:val="002A7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2E2"/>
    <w:rPr>
      <w:b/>
    </w:rPr>
  </w:style>
  <w:style w:type="character" w:customStyle="1" w:styleId="Underlined">
    <w:name w:val="Underlined"/>
    <w:basedOn w:val="DefaultParagraphFont"/>
    <w:rsid w:val="002A72E2"/>
    <w:rPr>
      <w:u w:val="single"/>
    </w:rPr>
  </w:style>
  <w:style w:type="paragraph" w:customStyle="1" w:styleId="TableBodyTextRight">
    <w:name w:val="Table Body Text Right"/>
    <w:basedOn w:val="TableBodyText"/>
    <w:rsid w:val="002A7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2E2"/>
    <w:rPr>
      <w:sz w:val="18"/>
    </w:rPr>
  </w:style>
  <w:style w:type="paragraph" w:customStyle="1" w:styleId="BodySmallRight">
    <w:name w:val="Body Small Right"/>
    <w:basedOn w:val="BodyTextRight"/>
    <w:rsid w:val="002A72E2"/>
    <w:rPr>
      <w:sz w:val="18"/>
      <w:szCs w:val="18"/>
    </w:rPr>
  </w:style>
  <w:style w:type="paragraph" w:customStyle="1" w:styleId="MarginEdition">
    <w:name w:val="Margin Edition"/>
    <w:basedOn w:val="MarginNote"/>
    <w:rsid w:val="002A7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2E2"/>
    <w:rPr>
      <w:sz w:val="2"/>
      <w:szCs w:val="2"/>
    </w:rPr>
  </w:style>
  <w:style w:type="character" w:customStyle="1" w:styleId="Small">
    <w:name w:val="Small"/>
    <w:basedOn w:val="DefaultParagraphFont"/>
    <w:rsid w:val="002A72E2"/>
    <w:rPr>
      <w:sz w:val="16"/>
    </w:rPr>
  </w:style>
  <w:style w:type="paragraph" w:customStyle="1" w:styleId="WideTable">
    <w:name w:val="Wide Table"/>
    <w:basedOn w:val="Normal"/>
    <w:rsid w:val="002A7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2E2"/>
  </w:style>
  <w:style w:type="paragraph" w:styleId="Quote">
    <w:name w:val="Quote"/>
    <w:basedOn w:val="Heading1"/>
    <w:link w:val="QuoteChar"/>
    <w:qFormat/>
    <w:rsid w:val="002A7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2E2"/>
    <w:pPr>
      <w:pageBreakBefore/>
    </w:pPr>
  </w:style>
  <w:style w:type="paragraph" w:customStyle="1" w:styleId="Border">
    <w:name w:val="Border"/>
    <w:basedOn w:val="Normal"/>
    <w:qFormat/>
    <w:rsid w:val="002A7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2E2"/>
    <w:rPr>
      <w:u w:val="single"/>
    </w:rPr>
  </w:style>
  <w:style w:type="character" w:customStyle="1" w:styleId="BoldandItalics">
    <w:name w:val="Bold and Italics"/>
    <w:qFormat/>
    <w:rsid w:val="002A72E2"/>
    <w:rPr>
      <w:b/>
      <w:i/>
      <w:u w:val="none"/>
    </w:rPr>
  </w:style>
  <w:style w:type="paragraph" w:styleId="BalloonText">
    <w:name w:val="Balloon Text"/>
    <w:basedOn w:val="Normal"/>
    <w:link w:val="BalloonTextChar"/>
    <w:rsid w:val="002A7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2E2"/>
    <w:pPr>
      <w:spacing w:before="0" w:after="0"/>
    </w:pPr>
  </w:style>
  <w:style w:type="paragraph" w:customStyle="1" w:styleId="BodyTextBold">
    <w:name w:val="Body Text Bold"/>
    <w:basedOn w:val="BodyText"/>
    <w:qFormat/>
    <w:rsid w:val="002A72E2"/>
    <w:rPr>
      <w:b/>
    </w:rPr>
  </w:style>
  <w:style w:type="character" w:styleId="Hyperlink">
    <w:name w:val="Hyperlink"/>
    <w:basedOn w:val="DefaultParagraphFont"/>
    <w:uiPriority w:val="99"/>
    <w:unhideWhenUsed/>
    <w:rsid w:val="00870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2572</Characters>
  <Application>Microsoft Office Word</Application>
  <DocSecurity>0</DocSecurity>
  <Lines>82</Lines>
  <Paragraphs>71</Paragraphs>
  <ScaleCrop>false</ScaleCrop>
  <Company>Author-it Software Corporation Ltd.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MSFFDM5008 Evaluate design proposals and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