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EDB" w:rsidP="003B4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MSFFDM4010 Prepare and present design and manufacturing information</w:t>
      </w:r>
      <w:r>
        <w:fldChar w:fldCharType="end"/>
      </w:r>
    </w:p>
    <w:p w:rsidR="003B4EDB" w:rsidP="003B4EDB">
      <w:pPr>
        <w:pStyle w:val="Version"/>
        <w:sectPr w:rsidSect="00E15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62E" w:rsidP="00E1562E">
      <w:pPr>
        <w:pStyle w:val="SuperHeading"/>
      </w:pPr>
      <w:r w:rsidRPr="00E1562E">
        <w:t>Assessment Requirements for MSFFDM4010 Prepare and present design and manufacturing information</w:t>
      </w:r>
    </w:p>
    <w:p w:rsidR="00000000" w:rsidRPr="00E1562E" w:rsidP="00E1562E">
      <w:pPr>
        <w:pStyle w:val="Heading1"/>
      </w:pPr>
      <w:bookmarkStart w:id="1" w:name="O_1109171"/>
      <w:bookmarkEnd w:id="1"/>
      <w:r w:rsidRPr="00E1562E">
        <w:t>Modification History</w:t>
      </w:r>
    </w:p>
    <w:p w:rsidR="00000000" w:rsidRPr="00E1562E" w:rsidP="003B4EDB">
      <w:pPr>
        <w:pStyle w:val="BodyText"/>
      </w:pPr>
      <w:r w:rsidRPr="00E1562E">
        <w:t>Release 1. Unit code and title changed. Applicati</w:t>
      </w:r>
      <w:r w:rsidRPr="00E1562E">
        <w:t>on changed. Elements and Performance Criteria changed. Range of Conditions removed and relevant content moved to Assessment Requirements. Assessment Requirements changed to remove content duplicated with Performance Criteria, and volume/frequency of eviden</w:t>
      </w:r>
      <w:r w:rsidRPr="00E1562E">
        <w:t>ce added. Supersedes and is not equivalent to MSFFDT4007 Prepare and present furniture design information.</w:t>
      </w:r>
    </w:p>
    <w:p w:rsidR="00000000" w:rsidRPr="00E1562E" w:rsidP="00E1562E">
      <w:pPr>
        <w:pStyle w:val="Heading1"/>
      </w:pPr>
      <w:bookmarkStart w:id="2" w:name="O_1109172"/>
      <w:bookmarkEnd w:id="2"/>
      <w:r w:rsidRPr="00E1562E">
        <w:t>Performance Evidence</w:t>
      </w:r>
    </w:p>
    <w:p w:rsidR="00000000" w:rsidRPr="00E1562E" w:rsidP="003B4EDB">
      <w:pPr>
        <w:pStyle w:val="BodyText"/>
      </w:pPr>
      <w:r w:rsidRPr="00E1562E">
        <w:t>There must be evidence the candidate has completed the tasks outlined in the elements and performance criteri</w:t>
      </w:r>
      <w:r w:rsidRPr="00E1562E">
        <w:t>a of this unit, and demonstrated the ability to:</w:t>
      </w:r>
    </w:p>
    <w:p w:rsidR="00000000" w:rsidRPr="00E1562E" w:rsidP="00E1562E">
      <w:pPr>
        <w:pStyle w:val="ListBullet"/>
      </w:pPr>
      <w:r w:rsidRPr="00E1562E">
        <w:t>prepare and present design and manufacturing information for two different products that includes:</w:t>
      </w:r>
    </w:p>
    <w:p w:rsidR="00000000" w:rsidRPr="00E1562E" w:rsidP="00E1562E">
      <w:pPr>
        <w:pStyle w:val="ListBullet2"/>
      </w:pPr>
      <w:r w:rsidRPr="00E1562E">
        <w:t>two types of drawings (sketches, working drawings, digital drawings or manual drawings)</w:t>
      </w:r>
    </w:p>
    <w:p w:rsidR="00000000" w:rsidRPr="00E1562E" w:rsidP="00E1562E">
      <w:pPr>
        <w:pStyle w:val="ListBullet2"/>
      </w:pPr>
      <w:r w:rsidRPr="00E1562E">
        <w:t>information on mat</w:t>
      </w:r>
      <w:r w:rsidRPr="00E1562E">
        <w:t>erials, and construction techniques or manufacturing technologies, and finishing</w:t>
      </w:r>
    </w:p>
    <w:p w:rsidR="00000000" w:rsidRPr="00E1562E" w:rsidP="00E1562E">
      <w:pPr>
        <w:pStyle w:val="ListBullet2"/>
      </w:pPr>
      <w:r w:rsidRPr="00E1562E">
        <w:t xml:space="preserve">one of maquettes, prototypes or samples </w:t>
      </w:r>
    </w:p>
    <w:p w:rsidR="00000000" w:rsidRPr="00E1562E" w:rsidP="00E1562E">
      <w:pPr>
        <w:pStyle w:val="ListBullet2"/>
      </w:pPr>
      <w:r w:rsidRPr="00E1562E">
        <w:t>selection of workplace technology including communication and design software that shows consideration of audience</w:t>
      </w:r>
    </w:p>
    <w:p w:rsidR="00000000" w:rsidRPr="00E1562E" w:rsidP="00E1562E">
      <w:pPr>
        <w:pStyle w:val="ListBullet2"/>
      </w:pPr>
      <w:r w:rsidRPr="00E1562E">
        <w:t>selection and imple</w:t>
      </w:r>
      <w:r w:rsidRPr="00E1562E">
        <w:t>mentation of one or more methods to review the effectiveness of the presentation.</w:t>
      </w:r>
    </w:p>
    <w:p w:rsidR="00000000" w:rsidRPr="00E1562E" w:rsidP="00E1562E">
      <w:pPr>
        <w:pStyle w:val="AllowPageBreak"/>
      </w:pPr>
    </w:p>
    <w:p w:rsidR="00000000" w:rsidRPr="00E1562E" w:rsidP="00E1562E">
      <w:pPr>
        <w:pStyle w:val="Heading1"/>
      </w:pPr>
      <w:bookmarkStart w:id="3" w:name="O_1109173"/>
      <w:bookmarkEnd w:id="3"/>
      <w:r w:rsidRPr="00E1562E">
        <w:t>Knowledge Evidence</w:t>
      </w:r>
    </w:p>
    <w:p w:rsidR="00000000" w:rsidRPr="00E1562E" w:rsidP="003B4EDB">
      <w:pPr>
        <w:pStyle w:val="BodyText"/>
      </w:pPr>
      <w:r w:rsidRPr="00E1562E">
        <w:t>There must be evidence the candidate has knowledge of:</w:t>
      </w:r>
    </w:p>
    <w:p w:rsidR="00000000" w:rsidRPr="00E1562E" w:rsidP="00E1562E">
      <w:pPr>
        <w:pStyle w:val="ListBullet"/>
      </w:pPr>
      <w:r w:rsidRPr="00E1562E">
        <w:t>information collection methods that sup</w:t>
      </w:r>
      <w:r w:rsidRPr="00E1562E">
        <w:t>port presentation development and delivery</w:t>
      </w:r>
    </w:p>
    <w:p w:rsidR="00000000" w:rsidRPr="00E1562E" w:rsidP="00E1562E">
      <w:pPr>
        <w:pStyle w:val="ListBullet"/>
      </w:pPr>
      <w:r w:rsidRPr="00E1562E">
        <w:t>communication protocols</w:t>
      </w:r>
    </w:p>
    <w:p w:rsidR="00000000" w:rsidRPr="00E1562E" w:rsidP="00E1562E">
      <w:pPr>
        <w:pStyle w:val="ListBullet"/>
      </w:pPr>
      <w:r w:rsidRPr="00E1562E">
        <w:t>elements and principles of design</w:t>
      </w:r>
    </w:p>
    <w:p w:rsidR="00000000" w:rsidRPr="00E1562E" w:rsidP="00E1562E">
      <w:pPr>
        <w:pStyle w:val="ListBullet"/>
      </w:pPr>
      <w:r w:rsidRPr="00E1562E">
        <w:t>application and use of ergonomic and anthropometric data (or factors) in design projects</w:t>
      </w:r>
    </w:p>
    <w:p w:rsidR="00000000" w:rsidRPr="00E1562E" w:rsidP="00E1562E">
      <w:pPr>
        <w:pStyle w:val="ListBullet"/>
      </w:pPr>
      <w:r w:rsidRPr="00E1562E">
        <w:t xml:space="preserve">presentation methods for communicating elements and principles of </w:t>
      </w:r>
      <w:r w:rsidRPr="00E1562E">
        <w:t>design</w:t>
      </w:r>
    </w:p>
    <w:p w:rsidR="00000000" w:rsidRPr="00E1562E" w:rsidP="00E1562E">
      <w:pPr>
        <w:pStyle w:val="ListBullet"/>
      </w:pPr>
      <w:r w:rsidRPr="00E1562E">
        <w:t>manufacturing methodologies being presented, including their advantages and disadvantages.</w:t>
      </w:r>
    </w:p>
    <w:p w:rsidR="00000000" w:rsidRPr="00E1562E" w:rsidP="00E1562E">
      <w:pPr>
        <w:pStyle w:val="ListBullet"/>
      </w:pPr>
      <w:r w:rsidRPr="00E1562E">
        <w:t xml:space="preserve">digital and non-digital presentation methods options for presentation methodology, and the advantages and disadvantages and associated equipment requirements </w:t>
      </w:r>
      <w:r w:rsidRPr="00E1562E">
        <w:t>for presenter and audience:</w:t>
      </w:r>
    </w:p>
    <w:p w:rsidR="00000000" w:rsidRPr="00E1562E" w:rsidP="00E1562E">
      <w:pPr>
        <w:pStyle w:val="ListBullet2"/>
      </w:pPr>
      <w:r w:rsidRPr="00E1562E">
        <w:t>presentation boards</w:t>
      </w:r>
    </w:p>
    <w:p w:rsidR="00000000" w:rsidRPr="00E1562E" w:rsidP="00E1562E">
      <w:pPr>
        <w:pStyle w:val="ListBullet2"/>
      </w:pPr>
      <w:r w:rsidRPr="00E1562E">
        <w:t xml:space="preserve">portfolios </w:t>
      </w:r>
    </w:p>
    <w:p w:rsidR="00000000" w:rsidRPr="00E1562E" w:rsidP="00E1562E">
      <w:pPr>
        <w:pStyle w:val="ListBullet2"/>
      </w:pPr>
      <w:r w:rsidRPr="00E1562E">
        <w:t>photography</w:t>
      </w:r>
    </w:p>
    <w:p w:rsidR="00000000" w:rsidRPr="00E1562E" w:rsidP="00E1562E">
      <w:pPr>
        <w:pStyle w:val="ListBullet2"/>
      </w:pPr>
      <w:r w:rsidRPr="00E1562E">
        <w:t>video and remote delivery</w:t>
      </w:r>
    </w:p>
    <w:p w:rsidR="00000000" w:rsidRPr="00E1562E" w:rsidP="00E1562E">
      <w:pPr>
        <w:pStyle w:val="ListBullet2"/>
      </w:pPr>
      <w:r w:rsidRPr="00E1562E">
        <w:t>other forms of multimedia.</w:t>
      </w:r>
    </w:p>
    <w:p w:rsidR="00000000" w:rsidRPr="00E1562E" w:rsidP="00E1562E">
      <w:pPr>
        <w:pStyle w:val="AllowPageBreak"/>
      </w:pPr>
    </w:p>
    <w:p w:rsidR="00000000" w:rsidRPr="00E1562E" w:rsidP="00E1562E">
      <w:pPr>
        <w:pStyle w:val="Heading1"/>
      </w:pPr>
      <w:bookmarkStart w:id="4" w:name="O_1109174"/>
      <w:bookmarkEnd w:id="4"/>
      <w:r w:rsidRPr="00E1562E">
        <w:t>Assessment Conditions</w:t>
      </w:r>
    </w:p>
    <w:p w:rsidR="00000000" w:rsidRPr="00E1562E" w:rsidP="003B4EDB">
      <w:pPr>
        <w:pStyle w:val="BodyText"/>
      </w:pPr>
      <w:r w:rsidRPr="00E1562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1562E" w:rsidP="00E1562E">
      <w:pPr>
        <w:pStyle w:val="ListBullet"/>
      </w:pPr>
      <w:r w:rsidRPr="00E1562E">
        <w:t xml:space="preserve">use of suitable facilities, equipment and resources, including: </w:t>
      </w:r>
    </w:p>
    <w:p w:rsidR="00000000" w:rsidRPr="00E1562E" w:rsidP="00E1562E">
      <w:pPr>
        <w:pStyle w:val="ListBullet2"/>
      </w:pPr>
      <w:r w:rsidRPr="00E1562E">
        <w:t>design briefs</w:t>
      </w:r>
    </w:p>
    <w:p w:rsidR="00000000" w:rsidRPr="00E1562E" w:rsidP="00E1562E">
      <w:pPr>
        <w:pStyle w:val="ListBullet2"/>
      </w:pPr>
      <w:r w:rsidRPr="00E1562E">
        <w:t>current information technology including design software for preparation of information.</w:t>
      </w:r>
    </w:p>
    <w:p w:rsidR="00000000" w:rsidRPr="00E1562E" w:rsidP="003B4EDB">
      <w:pPr>
        <w:pStyle w:val="BodyText"/>
      </w:pPr>
      <w:r w:rsidRPr="00E1562E">
        <w:t>Assessors must satisfy the NVR/AQTF mandatory competency requirements for assessors.</w:t>
      </w:r>
    </w:p>
    <w:p w:rsidR="00000000" w:rsidRPr="00E1562E" w:rsidP="00E1562E">
      <w:pPr>
        <w:pStyle w:val="Heading1"/>
      </w:pPr>
      <w:bookmarkStart w:id="5" w:name="O_1109177"/>
      <w:bookmarkEnd w:id="5"/>
      <w:r w:rsidRPr="00E1562E">
        <w:t>Links</w:t>
      </w:r>
    </w:p>
    <w:p w:rsidR="00000000" w:rsidRPr="00E1562E" w:rsidP="003B4EDB">
      <w:pPr>
        <w:pStyle w:val="BodyText"/>
      </w:pPr>
      <w:r w:rsidRPr="00E1562E">
        <w:t xml:space="preserve">Companion Volume implementation guides are </w:t>
      </w:r>
      <w:r w:rsidRPr="00E1562E">
        <w:t xml:space="preserve">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8793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1562E" w:rsidP="00E1562E"/>
    <w:sectPr w:rsidSect="00E156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62E" w:rsidRPr="003B4EDB" w:rsidP="003B4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DB" w:rsidP="00E15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4EDB" w:rsidP="00E15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4EDB" w:rsidP="00E15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62E" w:rsidRPr="003B4EDB" w:rsidP="003B4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DB" w:rsidRPr="002D2AF8" w:rsidP="00E15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MSFFDM4010 Prepare and present design and manufacturing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B4EDB" w:rsidP="00E15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B2F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D8E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B0A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62E"/>
  </w:style>
  <w:style w:type="character" w:customStyle="1" w:styleId="Heading1Char">
    <w:name w:val="Heading 1 Char"/>
    <w:basedOn w:val="DefaultParagraphFont"/>
    <w:link w:val="Heading1"/>
    <w:rsid w:val="00E15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6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6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56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5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6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62E"/>
    <w:rPr>
      <w:b/>
      <w:spacing w:val="0"/>
    </w:rPr>
  </w:style>
  <w:style w:type="paragraph" w:customStyle="1" w:styleId="SuperTitle">
    <w:name w:val="SuperTitle"/>
    <w:basedOn w:val="Title"/>
    <w:rsid w:val="00E15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6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62E"/>
    <w:rPr>
      <w:i/>
    </w:rPr>
  </w:style>
  <w:style w:type="paragraph" w:styleId="Caption">
    <w:name w:val="caption"/>
    <w:basedOn w:val="BodyText"/>
    <w:next w:val="Normal"/>
    <w:qFormat/>
    <w:rsid w:val="00E15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62E"/>
  </w:style>
  <w:style w:type="paragraph" w:styleId="TableofFigures">
    <w:name w:val="table of figures"/>
    <w:basedOn w:val="Normal"/>
    <w:next w:val="Normal"/>
    <w:semiHidden/>
    <w:rsid w:val="00E15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6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562E"/>
    <w:rPr>
      <w:rFonts w:ascii="Wingdings" w:hAnsi="Wingdings"/>
    </w:rPr>
  </w:style>
  <w:style w:type="paragraph" w:customStyle="1" w:styleId="TableHeading">
    <w:name w:val="Table Heading"/>
    <w:basedOn w:val="HeadingBase"/>
    <w:rsid w:val="00E15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62E"/>
    <w:rPr>
      <w:color w:val="0033CC"/>
      <w:u w:val="none"/>
    </w:rPr>
  </w:style>
  <w:style w:type="paragraph" w:customStyle="1" w:styleId="BodyTextRight">
    <w:name w:val="Body Text Right"/>
    <w:basedOn w:val="BodyText"/>
    <w:rsid w:val="00E15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6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62E"/>
    <w:rPr>
      <w:sz w:val="32"/>
    </w:rPr>
  </w:style>
  <w:style w:type="paragraph" w:customStyle="1" w:styleId="HeadingProcedure">
    <w:name w:val="Heading Procedure"/>
    <w:basedOn w:val="HeadingBase"/>
    <w:next w:val="Normal"/>
    <w:rsid w:val="00E15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62E"/>
    <w:pPr>
      <w:spacing w:before="60" w:after="60"/>
    </w:pPr>
  </w:style>
  <w:style w:type="paragraph" w:styleId="ListContinue">
    <w:name w:val="List Continue"/>
    <w:basedOn w:val="List"/>
    <w:rsid w:val="00E1562E"/>
    <w:pPr>
      <w:ind w:firstLine="0"/>
    </w:pPr>
  </w:style>
  <w:style w:type="paragraph" w:customStyle="1" w:styleId="ListNote">
    <w:name w:val="List Note"/>
    <w:basedOn w:val="List"/>
    <w:rsid w:val="00E15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62E"/>
    <w:rPr>
      <w:rFonts w:ascii="Courier New" w:hAnsi="Courier New"/>
    </w:rPr>
  </w:style>
  <w:style w:type="paragraph" w:customStyle="1" w:styleId="NoteBullet">
    <w:name w:val="Note Bullet"/>
    <w:basedOn w:val="Note"/>
    <w:rsid w:val="00E15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6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5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62E"/>
    <w:rPr>
      <w:b/>
      <w:smallCaps/>
    </w:rPr>
  </w:style>
  <w:style w:type="paragraph" w:customStyle="1" w:styleId="TableListNumber">
    <w:name w:val="Table List Number"/>
    <w:basedOn w:val="ListNumber"/>
    <w:rsid w:val="00E15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62E"/>
    <w:pPr>
      <w:numPr>
        <w:numId w:val="9"/>
      </w:numPr>
    </w:pPr>
  </w:style>
  <w:style w:type="paragraph" w:customStyle="1" w:styleId="ListAlpha2">
    <w:name w:val="List Alpha 2"/>
    <w:basedOn w:val="List2"/>
    <w:rsid w:val="00E1562E"/>
    <w:pPr>
      <w:numPr>
        <w:numId w:val="8"/>
      </w:numPr>
    </w:pPr>
  </w:style>
  <w:style w:type="paragraph" w:styleId="List2">
    <w:name w:val="List 2"/>
    <w:basedOn w:val="BodyText"/>
    <w:rsid w:val="00E15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6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6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562E"/>
    <w:pPr>
      <w:numPr>
        <w:numId w:val="4"/>
      </w:numPr>
    </w:pPr>
  </w:style>
  <w:style w:type="paragraph" w:styleId="ListContinue2">
    <w:name w:val="List Continue 2"/>
    <w:basedOn w:val="List2"/>
    <w:rsid w:val="00E1562E"/>
    <w:pPr>
      <w:ind w:firstLine="0"/>
    </w:pPr>
  </w:style>
  <w:style w:type="paragraph" w:styleId="ListContinue3">
    <w:name w:val="List Continue 3"/>
    <w:basedOn w:val="List3"/>
    <w:rsid w:val="00E1562E"/>
    <w:pPr>
      <w:ind w:left="1021" w:firstLine="0"/>
    </w:pPr>
  </w:style>
  <w:style w:type="paragraph" w:styleId="ListContinue4">
    <w:name w:val="List Continue 4"/>
    <w:basedOn w:val="List4"/>
    <w:rsid w:val="00E1562E"/>
    <w:pPr>
      <w:ind w:firstLine="0"/>
    </w:pPr>
  </w:style>
  <w:style w:type="paragraph" w:styleId="ListContinue5">
    <w:name w:val="List Continue 5"/>
    <w:basedOn w:val="List5"/>
    <w:rsid w:val="00E1562E"/>
    <w:pPr>
      <w:ind w:firstLine="0"/>
    </w:pPr>
  </w:style>
  <w:style w:type="paragraph" w:styleId="ListNumber3">
    <w:name w:val="List Number 3"/>
    <w:basedOn w:val="List3"/>
    <w:rsid w:val="00E1562E"/>
    <w:pPr>
      <w:numPr>
        <w:numId w:val="5"/>
      </w:numPr>
    </w:pPr>
  </w:style>
  <w:style w:type="paragraph" w:styleId="ListNumber4">
    <w:name w:val="List Number 4"/>
    <w:basedOn w:val="List4"/>
    <w:rsid w:val="00E1562E"/>
    <w:pPr>
      <w:numPr>
        <w:numId w:val="6"/>
      </w:numPr>
    </w:pPr>
  </w:style>
  <w:style w:type="paragraph" w:styleId="ListNumber5">
    <w:name w:val="List Number 5"/>
    <w:basedOn w:val="List5"/>
    <w:rsid w:val="00E1562E"/>
    <w:pPr>
      <w:numPr>
        <w:numId w:val="7"/>
      </w:numPr>
    </w:pPr>
  </w:style>
  <w:style w:type="paragraph" w:styleId="BlockText">
    <w:name w:val="Block Text"/>
    <w:basedOn w:val="Normal"/>
    <w:rsid w:val="00E15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62E"/>
    <w:rPr>
      <w:sz w:val="16"/>
      <w:vertAlign w:val="superscript"/>
    </w:rPr>
  </w:style>
  <w:style w:type="character" w:customStyle="1" w:styleId="Symbols">
    <w:name w:val="Symbols"/>
    <w:basedOn w:val="DefaultParagraphFont"/>
    <w:rsid w:val="00E1562E"/>
    <w:rPr>
      <w:rFonts w:ascii="Symbol" w:hAnsi="Symbol"/>
    </w:rPr>
  </w:style>
  <w:style w:type="character" w:customStyle="1" w:styleId="MenuOptions">
    <w:name w:val="Menu Options"/>
    <w:basedOn w:val="DefaultParagraphFont"/>
    <w:rsid w:val="00E15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62E"/>
    <w:rPr>
      <w:b/>
    </w:rPr>
  </w:style>
  <w:style w:type="character" w:customStyle="1" w:styleId="Underlined">
    <w:name w:val="Underlined"/>
    <w:basedOn w:val="DefaultParagraphFont"/>
    <w:rsid w:val="00E1562E"/>
    <w:rPr>
      <w:u w:val="single"/>
    </w:rPr>
  </w:style>
  <w:style w:type="paragraph" w:customStyle="1" w:styleId="TableBodyTextRight">
    <w:name w:val="Table Body Text Right"/>
    <w:basedOn w:val="TableBodyText"/>
    <w:rsid w:val="00E15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62E"/>
    <w:rPr>
      <w:sz w:val="18"/>
    </w:rPr>
  </w:style>
  <w:style w:type="paragraph" w:customStyle="1" w:styleId="BodySmallRight">
    <w:name w:val="Body Small Right"/>
    <w:basedOn w:val="BodyTextRight"/>
    <w:rsid w:val="00E1562E"/>
    <w:rPr>
      <w:sz w:val="18"/>
      <w:szCs w:val="18"/>
    </w:rPr>
  </w:style>
  <w:style w:type="paragraph" w:customStyle="1" w:styleId="MarginEdition">
    <w:name w:val="Margin Edition"/>
    <w:basedOn w:val="MarginNote"/>
    <w:rsid w:val="00E15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62E"/>
    <w:rPr>
      <w:sz w:val="2"/>
      <w:szCs w:val="2"/>
    </w:rPr>
  </w:style>
  <w:style w:type="character" w:customStyle="1" w:styleId="Small">
    <w:name w:val="Small"/>
    <w:basedOn w:val="DefaultParagraphFont"/>
    <w:rsid w:val="00E1562E"/>
    <w:rPr>
      <w:sz w:val="16"/>
    </w:rPr>
  </w:style>
  <w:style w:type="paragraph" w:customStyle="1" w:styleId="WideTable">
    <w:name w:val="Wide Table"/>
    <w:basedOn w:val="Normal"/>
    <w:rsid w:val="00E15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62E"/>
  </w:style>
  <w:style w:type="paragraph" w:styleId="Quote">
    <w:name w:val="Quote"/>
    <w:basedOn w:val="Heading1"/>
    <w:link w:val="QuoteChar"/>
    <w:qFormat/>
    <w:rsid w:val="00E15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62E"/>
    <w:pPr>
      <w:pageBreakBefore/>
    </w:pPr>
  </w:style>
  <w:style w:type="paragraph" w:customStyle="1" w:styleId="Border">
    <w:name w:val="Border"/>
    <w:basedOn w:val="Normal"/>
    <w:qFormat/>
    <w:rsid w:val="00E15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62E"/>
    <w:rPr>
      <w:u w:val="single"/>
    </w:rPr>
  </w:style>
  <w:style w:type="character" w:customStyle="1" w:styleId="BoldandItalics">
    <w:name w:val="Bold and Italics"/>
    <w:qFormat/>
    <w:rsid w:val="00E1562E"/>
    <w:rPr>
      <w:b/>
      <w:i/>
      <w:u w:val="none"/>
    </w:rPr>
  </w:style>
  <w:style w:type="paragraph" w:styleId="BalloonText">
    <w:name w:val="Balloon Text"/>
    <w:basedOn w:val="Normal"/>
    <w:link w:val="BalloonTextChar"/>
    <w:rsid w:val="00E15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62E"/>
    <w:pPr>
      <w:spacing w:before="0" w:after="0"/>
    </w:pPr>
  </w:style>
  <w:style w:type="paragraph" w:customStyle="1" w:styleId="BodyTextBold">
    <w:name w:val="Body Text Bold"/>
    <w:basedOn w:val="BodyText"/>
    <w:qFormat/>
    <w:rsid w:val="00E1562E"/>
    <w:rPr>
      <w:b/>
    </w:rPr>
  </w:style>
  <w:style w:type="character" w:styleId="Hyperlink">
    <w:name w:val="Hyperlink"/>
    <w:basedOn w:val="DefaultParagraphFont"/>
    <w:uiPriority w:val="99"/>
    <w:unhideWhenUsed/>
    <w:rsid w:val="003B4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2538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MSFFDM4010 Prepare and present design and manufacturing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