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B0B" w:rsidP="00D74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MSFDG5001 Assess conservation requirements</w:t>
      </w:r>
      <w:r>
        <w:fldChar w:fldCharType="end"/>
      </w:r>
    </w:p>
    <w:p w:rsidR="00D74B0B" w:rsidP="00D74B0B">
      <w:pPr>
        <w:pStyle w:val="Version"/>
        <w:sectPr w:rsidSect="001F4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303" w:rsidP="001F4303">
      <w:pPr>
        <w:pStyle w:val="SuperHeading"/>
      </w:pPr>
      <w:r w:rsidRPr="001F4303">
        <w:t>MSFDG5001 Assess conservation requirements</w:t>
      </w:r>
    </w:p>
    <w:p w:rsidR="00000000" w:rsidRPr="001F4303" w:rsidP="001F4303">
      <w:pPr>
        <w:pStyle w:val="Heading1"/>
      </w:pPr>
      <w:bookmarkStart w:id="1" w:name="O_1014531"/>
      <w:bookmarkEnd w:id="1"/>
      <w:r w:rsidRPr="001F4303">
        <w:t>Modification History</w:t>
      </w:r>
    </w:p>
    <w:p w:rsidR="00000000" w:rsidRPr="001F4303" w:rsidP="00D74B0B">
      <w:pPr>
        <w:pStyle w:val="BodyText"/>
      </w:pPr>
      <w:r w:rsidRPr="001F4303">
        <w:t>Release 1. Supersedes and is equivalent to MSFSL5001 Assess conservation requirements.</w:t>
      </w:r>
    </w:p>
    <w:p w:rsidR="00000000" w:rsidRPr="001F4303" w:rsidP="001F4303">
      <w:pPr>
        <w:pStyle w:val="Heading1"/>
      </w:pPr>
      <w:bookmarkStart w:id="2" w:name="O_1014537"/>
      <w:bookmarkEnd w:id="2"/>
      <w:r w:rsidRPr="001F4303">
        <w:t>Application</w:t>
      </w:r>
    </w:p>
    <w:p w:rsidR="00000000" w:rsidRPr="001F4303" w:rsidP="00D74B0B">
      <w:pPr>
        <w:pStyle w:val="BodyText"/>
      </w:pPr>
      <w:r w:rsidRPr="001F4303">
        <w:t>This unit describes the skills and knowledge required to assess conservation requirements through the research and ap</w:t>
      </w:r>
      <w:r w:rsidRPr="001F4303">
        <w:t>plication of recognised conservation principles and practices. It includes the ability to prepare comprehensive reports on assessment requirements, including estimation of costs for required work.</w:t>
      </w:r>
    </w:p>
    <w:p w:rsidR="00000000" w:rsidRPr="001F4303" w:rsidP="00D74B0B">
      <w:pPr>
        <w:pStyle w:val="BodyText"/>
      </w:pPr>
      <w:r w:rsidRPr="001F4303">
        <w:t>This unit applies to individuals working with designed glas</w:t>
      </w:r>
      <w:r w:rsidRPr="001F4303">
        <w:t>s.</w:t>
      </w:r>
    </w:p>
    <w:p w:rsidR="00D74B0B" w:rsidP="00D74B0B">
      <w:pPr>
        <w:pStyle w:val="BodyText"/>
      </w:pPr>
      <w:r w:rsidRPr="001F4303">
        <w:t>Licensing, legislative or certification requirements may apply to this unit and relevant state/territory and local government agencies should be consulted to determine any necessary certification or licensing for undertaking glass and glazing work. Acce</w:t>
      </w:r>
      <w:r w:rsidRPr="001F4303">
        <w:t>ss to construction sites requires certification of general induction training specified by the National Code of Practice for Induction for Construction Work (ASCC 2007).</w:t>
      </w:r>
    </w:p>
    <w:p w:rsidR="00000000" w:rsidRPr="001F4303" w:rsidP="001F4303">
      <w:pPr>
        <w:pStyle w:val="Heading1"/>
      </w:pPr>
      <w:bookmarkStart w:id="3" w:name="O_1014536"/>
      <w:bookmarkEnd w:id="3"/>
      <w:r w:rsidRPr="001F4303">
        <w:t>Pre-requisite Unit</w:t>
      </w:r>
    </w:p>
    <w:p w:rsidR="00000000" w:rsidRPr="001F4303" w:rsidP="00D74B0B">
      <w:pPr>
        <w:pStyle w:val="BodyText"/>
      </w:pPr>
      <w:r w:rsidRPr="001F4303">
        <w:t>N/A</w:t>
      </w:r>
    </w:p>
    <w:p w:rsidR="00000000" w:rsidRPr="001F4303" w:rsidP="001F4303">
      <w:pPr>
        <w:pStyle w:val="Heading1"/>
      </w:pPr>
      <w:bookmarkStart w:id="4" w:name="O_1014535"/>
      <w:bookmarkEnd w:id="4"/>
      <w:r w:rsidRPr="001F4303">
        <w:t>Unit Sector</w:t>
      </w:r>
    </w:p>
    <w:p w:rsidR="00000000" w:rsidRPr="001F4303" w:rsidP="00D74B0B">
      <w:pPr>
        <w:pStyle w:val="BodyText"/>
      </w:pPr>
      <w:r w:rsidRPr="001F4303">
        <w:t>Leadlight an</w:t>
      </w:r>
      <w:r w:rsidRPr="001F4303">
        <w:t>d Stained Glass</w:t>
      </w:r>
    </w:p>
    <w:p w:rsidR="00000000" w:rsidRPr="001F4303" w:rsidP="001F4303">
      <w:pPr>
        <w:pStyle w:val="Heading1"/>
      </w:pPr>
      <w:bookmarkStart w:id="5" w:name="O_1014534"/>
      <w:bookmarkEnd w:id="5"/>
      <w:r w:rsidRPr="001F43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74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03" w:rsidP="001F4303">
            <w:pPr>
              <w:pStyle w:val="BodyText"/>
            </w:pPr>
            <w:r w:rsidRPr="001F430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rPr>
                <w:rStyle w:val="SpecialBold"/>
              </w:rPr>
              <w:t>Performance Criteria</w:t>
            </w:r>
          </w:p>
        </w:tc>
      </w:tr>
      <w:tr w:rsidTr="00D74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03" w:rsidP="001F4303">
            <w:pPr>
              <w:pStyle w:val="BodyText"/>
            </w:pPr>
            <w:r w:rsidRPr="001F4303">
              <w:rPr>
                <w:rStyle w:val="Emphasis"/>
              </w:rPr>
              <w:t xml:space="preserve">Elements describe the </w:t>
            </w:r>
            <w:r w:rsidRPr="001F4303">
              <w:t xml:space="preserve">essential </w:t>
            </w:r>
            <w:r w:rsidRPr="001F430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4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>1. Plan conservation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03" w:rsidP="001F4303">
            <w:pPr>
              <w:pStyle w:val="BodyText"/>
            </w:pPr>
            <w:r w:rsidRPr="001F4303">
              <w:t xml:space="preserve">1.1 Identify and follow work health and safety, legislative and organisational requirements </w:t>
            </w:r>
          </w:p>
          <w:p w:rsidR="00000000" w:rsidRPr="001F4303" w:rsidP="001F4303">
            <w:pPr>
              <w:pStyle w:val="BodyText"/>
            </w:pPr>
            <w:r w:rsidRPr="001F4303">
              <w:t xml:space="preserve">1.2 Establish, confirm and clarify purpose of the assessment with appropriate personnel </w:t>
            </w:r>
          </w:p>
          <w:p w:rsidR="00000000" w:rsidRPr="001F4303" w:rsidP="001F4303">
            <w:pPr>
              <w:pStyle w:val="BodyText"/>
            </w:pPr>
            <w:r w:rsidRPr="001F4303">
              <w:t xml:space="preserve">1.3 Determine and inspect location of the </w:t>
            </w:r>
            <w:r w:rsidRPr="001F4303">
              <w:t>leadlight and stained glass panels to be assessed for information relevant to the process</w:t>
            </w:r>
          </w:p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 xml:space="preserve">1.4 Research leadlighting and stained glass conservation procedures </w:t>
            </w:r>
            <w:r w:rsidRPr="001F4303">
              <w:t>applicable to the job for approval with relevant people</w:t>
            </w:r>
          </w:p>
        </w:tc>
      </w:tr>
      <w:tr w:rsidTr="00D74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>2. Prepare for the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03" w:rsidP="001F4303">
            <w:pPr>
              <w:pStyle w:val="BodyText"/>
            </w:pPr>
            <w:r w:rsidRPr="001F4303">
              <w:t>2.1 Assemble, position and check tools and equipment prior to use to ensure they are appropriate for the assessment, serviceable and in a safe condition</w:t>
            </w:r>
          </w:p>
          <w:p w:rsidR="00000000" w:rsidRPr="001F4303" w:rsidP="001F4303">
            <w:pPr>
              <w:pStyle w:val="BodyText"/>
            </w:pPr>
            <w:r w:rsidRPr="001F4303">
              <w:t>2.2 Assemble plans and other documents that show industry standards and historical data, and position t</w:t>
            </w:r>
            <w:r w:rsidRPr="001F4303">
              <w:t>o allow for confirmation of the panel structure and placement</w:t>
            </w:r>
          </w:p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>2.3 Take photographs of the panel for documentation of condition and for later reference</w:t>
            </w:r>
          </w:p>
        </w:tc>
      </w:tr>
      <w:tr w:rsidTr="00D74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>3. Assess the panel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03" w:rsidP="001F4303">
            <w:pPr>
              <w:pStyle w:val="BodyText"/>
            </w:pPr>
            <w:r w:rsidRPr="001F4303">
              <w:t>3.1 Inspect glass features, faults and treatments and document accurately</w:t>
            </w:r>
          </w:p>
          <w:p w:rsidR="00000000" w:rsidRPr="001F4303" w:rsidP="001F4303">
            <w:pPr>
              <w:pStyle w:val="BodyText"/>
            </w:pPr>
            <w:r w:rsidRPr="001F4303">
              <w:t>3.2 Invest</w:t>
            </w:r>
            <w:r w:rsidRPr="001F4303">
              <w:t>igate and accurately document structural faults, problems and other materials</w:t>
            </w:r>
          </w:p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>3.3 Assess and accurately document impacts of environmental factors</w:t>
            </w:r>
          </w:p>
        </w:tc>
      </w:tr>
      <w:tr w:rsidTr="00D74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03">
            <w:pPr>
              <w:pStyle w:val="BodyText"/>
              <w:rPr>
                <w:lang w:val="en-NZ"/>
              </w:rPr>
            </w:pPr>
            <w:r w:rsidRPr="001F4303">
              <w:t>4. Finalise and report on the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03" w:rsidP="001F4303">
            <w:pPr>
              <w:pStyle w:val="BodyText"/>
            </w:pPr>
            <w:r w:rsidRPr="001F4303">
              <w:t xml:space="preserve">4.1 Remove, clean and store tools and equipment appropriately </w:t>
            </w:r>
          </w:p>
          <w:p w:rsidR="00000000" w:rsidRPr="001F4303" w:rsidP="001F4303">
            <w:pPr>
              <w:pStyle w:val="BodyText"/>
            </w:pPr>
            <w:r w:rsidRPr="001F4303">
              <w:t>4.2 C</w:t>
            </w:r>
            <w:r w:rsidRPr="001F4303">
              <w:t>lean assessment area and dispose of rubbish appropriately</w:t>
            </w:r>
          </w:p>
          <w:p w:rsidR="00000000" w:rsidRPr="001F4303" w:rsidP="001F4303">
            <w:pPr>
              <w:pStyle w:val="BodyText"/>
            </w:pPr>
            <w:r w:rsidRPr="001F4303">
              <w:t>4.3 Determine and confirm conservation requirements resulting from the assessment with appropriate personnel</w:t>
            </w:r>
          </w:p>
          <w:p w:rsidR="00000000" w:rsidRPr="001F4303" w:rsidP="001F4303">
            <w:pPr>
              <w:pStyle w:val="BodyText"/>
            </w:pPr>
            <w:r w:rsidRPr="001F4303">
              <w:t>4.4 Prepare and provide condition report that includes detailed photographic evidence wit</w:t>
            </w:r>
            <w:r w:rsidRPr="001F4303">
              <w:t>h details of issues and recommendations regarding remedial work</w:t>
            </w:r>
          </w:p>
          <w:p w:rsidR="00000000" w:rsidRPr="001F4303" w:rsidP="001F4303">
            <w:pPr>
              <w:pStyle w:val="BodyText"/>
            </w:pPr>
            <w:r w:rsidRPr="001F4303">
              <w:t>4.5 Develop a work plan and cost estimate for all required conservation work</w:t>
            </w:r>
          </w:p>
        </w:tc>
      </w:tr>
    </w:tbl>
    <w:p w:rsidR="00D74B0B" w:rsidP="001F4303">
      <w:pPr>
        <w:pStyle w:val="BodyText"/>
      </w:pPr>
    </w:p>
    <w:p w:rsidR="00D74B0B" w:rsidP="001F4303">
      <w:pPr>
        <w:pStyle w:val="BodyText"/>
      </w:pPr>
    </w:p>
    <w:p w:rsidR="00000000" w:rsidRPr="001F4303" w:rsidP="001F4303">
      <w:pPr>
        <w:pStyle w:val="Heading1"/>
      </w:pPr>
      <w:bookmarkStart w:id="6" w:name="O_1014533"/>
      <w:bookmarkEnd w:id="6"/>
      <w:r w:rsidRPr="001F4303">
        <w:t>Foundation Skills</w:t>
      </w:r>
    </w:p>
    <w:p w:rsidR="00000000" w:rsidRPr="001F4303" w:rsidP="00D74B0B">
      <w:pPr>
        <w:pStyle w:val="BodyText"/>
      </w:pPr>
      <w:r w:rsidRPr="001F4303">
        <w:t>Foundation skills essential to performance are explicit in the performance criteria of this unit of competency.</w:t>
      </w:r>
    </w:p>
    <w:p w:rsidR="00000000" w:rsidRPr="001F4303" w:rsidP="001F4303">
      <w:pPr>
        <w:pStyle w:val="ListBullet"/>
      </w:pPr>
      <w:r w:rsidRPr="001F4303">
        <w:t>technology skills to research information and prepare reports using digital media.</w:t>
      </w:r>
    </w:p>
    <w:p w:rsidR="00000000" w:rsidRPr="001F4303" w:rsidP="00D74B0B">
      <w:pPr>
        <w:pStyle w:val="BodyText"/>
      </w:pPr>
      <w:r w:rsidRPr="001F4303">
        <w:t>Other foundation skills essential to performance are explici</w:t>
      </w:r>
      <w:r w:rsidRPr="001F4303">
        <w:t>t in the performance criteria of this unit of competency.</w:t>
      </w:r>
    </w:p>
    <w:p w:rsidR="00000000" w:rsidRPr="001F4303" w:rsidP="001F4303">
      <w:pPr>
        <w:pStyle w:val="Heading1"/>
      </w:pPr>
      <w:bookmarkStart w:id="7" w:name="O_1014532"/>
      <w:bookmarkEnd w:id="7"/>
      <w:r w:rsidRPr="001F4303">
        <w:t>Unit Mapping Information</w:t>
      </w:r>
    </w:p>
    <w:p w:rsidR="00000000" w:rsidRPr="001F4303" w:rsidP="00D74B0B">
      <w:pPr>
        <w:pStyle w:val="BodyText"/>
      </w:pPr>
      <w:r w:rsidRPr="001F4303">
        <w:t>Supersedes and is equivalent to MSFSL5001 Assess conservation requirements.</w:t>
      </w:r>
    </w:p>
    <w:p w:rsidR="00000000" w:rsidRPr="001F4303" w:rsidP="001F4303">
      <w:pPr>
        <w:pStyle w:val="Heading1"/>
      </w:pPr>
      <w:bookmarkStart w:id="8" w:name="O_1014525"/>
      <w:bookmarkEnd w:id="8"/>
      <w:r w:rsidRPr="001F4303">
        <w:t>Links</w:t>
      </w:r>
    </w:p>
    <w:p w:rsidR="00000000" w:rsidRPr="001F4303" w:rsidP="00D74B0B">
      <w:pPr>
        <w:pStyle w:val="BodyText"/>
      </w:pPr>
      <w:r w:rsidRPr="001F4303">
        <w:t>Companion Volume implementation guides are found in V</w:t>
      </w:r>
      <w:r w:rsidRPr="001F4303">
        <w:t xml:space="preserve">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838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F4303" w:rsidP="00D74B0B">
      <w:pPr>
        <w:pStyle w:val="BodyText"/>
        <w:sectPr w:rsidSect="001F4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4303" w:rsidP="001F4303">
      <w:pPr>
        <w:pStyle w:val="SuperHeading"/>
      </w:pPr>
      <w:r w:rsidRPr="001F4303">
        <w:t>Assessment Requirements for MSFDG5001 Assess conservation requirements</w:t>
      </w:r>
    </w:p>
    <w:p w:rsidR="00000000" w:rsidRPr="001F4303" w:rsidP="001F4303">
      <w:pPr>
        <w:pStyle w:val="Heading1"/>
      </w:pPr>
      <w:bookmarkStart w:id="9" w:name="O_1014527"/>
      <w:bookmarkEnd w:id="9"/>
      <w:r w:rsidRPr="001F4303">
        <w:t>Modification History</w:t>
      </w:r>
    </w:p>
    <w:p w:rsidR="00000000" w:rsidRPr="001F4303" w:rsidP="00D74B0B">
      <w:pPr>
        <w:pStyle w:val="BodyText"/>
      </w:pPr>
      <w:r w:rsidRPr="001F4303">
        <w:t>Not ap</w:t>
      </w:r>
      <w:r w:rsidRPr="001F4303">
        <w:t>plicable.</w:t>
      </w:r>
    </w:p>
    <w:p w:rsidR="00000000" w:rsidRPr="001F4303" w:rsidP="001F4303">
      <w:pPr>
        <w:pStyle w:val="Heading1"/>
      </w:pPr>
      <w:bookmarkStart w:id="10" w:name="O_1014530"/>
      <w:bookmarkEnd w:id="10"/>
      <w:r w:rsidRPr="001F4303">
        <w:t>Performance Evidence</w:t>
      </w:r>
    </w:p>
    <w:p w:rsidR="00000000" w:rsidRPr="001F4303" w:rsidP="00D74B0B">
      <w:pPr>
        <w:pStyle w:val="BodyText"/>
      </w:pPr>
      <w:r w:rsidRPr="001F4303">
        <w:t xml:space="preserve">There must be evidence the candidate has completed the tasks outlined in the elements and performance criteria of this unit, and: </w:t>
      </w:r>
    </w:p>
    <w:p w:rsidR="00000000" w:rsidRPr="001F4303" w:rsidP="001F4303">
      <w:pPr>
        <w:pStyle w:val="ListBullet"/>
      </w:pPr>
      <w:r w:rsidRPr="001F4303">
        <w:t>submitted a completed condition report for 4 installations:</w:t>
      </w:r>
    </w:p>
    <w:p w:rsidR="00000000" w:rsidRPr="001F4303" w:rsidP="001F4303">
      <w:pPr>
        <w:pStyle w:val="ListBullet2"/>
      </w:pPr>
      <w:r w:rsidRPr="001F4303">
        <w:t>2 leadlight panels</w:t>
      </w:r>
    </w:p>
    <w:p w:rsidR="00000000" w:rsidRPr="001F4303" w:rsidP="001F4303">
      <w:pPr>
        <w:pStyle w:val="ListBullet2"/>
      </w:pPr>
      <w:r w:rsidRPr="001F4303">
        <w:t>2 stained glass panels</w:t>
      </w:r>
    </w:p>
    <w:p w:rsidR="00000000" w:rsidRPr="001F4303" w:rsidP="001F4303">
      <w:pPr>
        <w:pStyle w:val="ListBullet"/>
      </w:pPr>
      <w:r w:rsidRPr="001F4303">
        <w:t>produced a photographic sequence for each panel that shows the range of conservation issues for each panel</w:t>
      </w:r>
    </w:p>
    <w:p w:rsidR="00D74B0B" w:rsidP="001F4303">
      <w:pPr>
        <w:pStyle w:val="ListBullet"/>
      </w:pPr>
      <w:r w:rsidRPr="001F4303">
        <w:t>submitted 1 work plan for conservation requirements that includes an estimate of costs for all conservatio</w:t>
      </w:r>
      <w:r w:rsidRPr="001F4303">
        <w:t>n work.</w:t>
      </w:r>
    </w:p>
    <w:p w:rsidR="00D74B0B" w:rsidP="001F4303">
      <w:pPr>
        <w:pStyle w:val="ListBullet"/>
      </w:pPr>
    </w:p>
    <w:p w:rsidR="00000000" w:rsidRPr="001F4303" w:rsidP="001F4303">
      <w:pPr>
        <w:pStyle w:val="Heading1"/>
      </w:pPr>
      <w:bookmarkStart w:id="11" w:name="O_1014529"/>
      <w:bookmarkEnd w:id="11"/>
      <w:r w:rsidRPr="001F4303">
        <w:t>Knowledge Evidence</w:t>
      </w:r>
    </w:p>
    <w:p w:rsidR="00000000" w:rsidRPr="001F4303" w:rsidP="00D74B0B">
      <w:pPr>
        <w:pStyle w:val="BodyText"/>
      </w:pPr>
      <w:r w:rsidRPr="001F4303">
        <w:t>There must be evidence the candidate has knowledge of:</w:t>
      </w:r>
    </w:p>
    <w:p w:rsidR="00000000" w:rsidRPr="001F4303" w:rsidP="001F4303">
      <w:pPr>
        <w:pStyle w:val="ListBullet"/>
      </w:pPr>
      <w:r w:rsidRPr="001F4303">
        <w:t xml:space="preserve">state or territory work health and safety legislation, regulations, standards and codes of practice relevant </w:t>
      </w:r>
      <w:r w:rsidRPr="001F4303">
        <w:t>to the full range of processes for leadlight and stained glass operations</w:t>
      </w:r>
    </w:p>
    <w:p w:rsidR="00000000" w:rsidRPr="001F4303" w:rsidP="001F4303">
      <w:pPr>
        <w:pStyle w:val="ListBullet"/>
      </w:pPr>
      <w:r w:rsidRPr="001F4303">
        <w:t xml:space="preserve">organisational and site standards, requirements, policies and procedures for the assessment of leadlight and stained glass panels </w:t>
      </w:r>
    </w:p>
    <w:p w:rsidR="00000000" w:rsidRPr="001F4303" w:rsidP="001F4303">
      <w:pPr>
        <w:pStyle w:val="ListBullet"/>
      </w:pPr>
      <w:r w:rsidRPr="001F4303">
        <w:t>mathematical procedures for estimation and measurem</w:t>
      </w:r>
      <w:r w:rsidRPr="001F4303">
        <w:t>ent</w:t>
      </w:r>
    </w:p>
    <w:p w:rsidR="00000000" w:rsidRPr="001F4303" w:rsidP="001F4303">
      <w:pPr>
        <w:pStyle w:val="ListBullet"/>
      </w:pPr>
      <w:r w:rsidRPr="001F4303">
        <w:t>heritage legislation as it applies to leadlight and stained glass panels</w:t>
      </w:r>
    </w:p>
    <w:p w:rsidR="00000000" w:rsidRPr="001F4303" w:rsidP="001F4303">
      <w:pPr>
        <w:pStyle w:val="ListBullet"/>
      </w:pPr>
      <w:r w:rsidRPr="001F4303">
        <w:t xml:space="preserve">historical leadlight and stained glass panel construction methods </w:t>
      </w:r>
    </w:p>
    <w:p w:rsidR="00000000" w:rsidRPr="001F4303" w:rsidP="001F4303">
      <w:pPr>
        <w:pStyle w:val="ListBullet"/>
      </w:pPr>
      <w:r w:rsidRPr="001F4303">
        <w:t>framing, structural and construction techniques relevant to leadlight and stained glass panels</w:t>
      </w:r>
    </w:p>
    <w:p w:rsidR="00000000" w:rsidRPr="001F4303" w:rsidP="001F4303">
      <w:pPr>
        <w:pStyle w:val="ListBullet"/>
      </w:pPr>
      <w:r w:rsidRPr="001F4303">
        <w:t>leadlight and stained glass panels construction and repair terminology and techniques</w:t>
      </w:r>
    </w:p>
    <w:p w:rsidR="00000000" w:rsidRPr="001F4303" w:rsidP="001F4303">
      <w:pPr>
        <w:pStyle w:val="ListBullet"/>
      </w:pPr>
      <w:r w:rsidRPr="001F4303">
        <w:t>principles and guidelines of the Australia International Council on Monuments and Sites (ICOMOS) Burra Charter</w:t>
      </w:r>
    </w:p>
    <w:p w:rsidR="00000000" w:rsidRPr="001F4303" w:rsidP="001F4303">
      <w:pPr>
        <w:pStyle w:val="ListBullet"/>
      </w:pPr>
      <w:r w:rsidRPr="001F4303">
        <w:t>types of plans and other documentation used to inform conse</w:t>
      </w:r>
      <w:r w:rsidRPr="001F4303">
        <w:t>rvation assessment</w:t>
      </w:r>
    </w:p>
    <w:p w:rsidR="00000000" w:rsidRPr="001F4303" w:rsidP="001F4303">
      <w:pPr>
        <w:pStyle w:val="ListBullet"/>
      </w:pPr>
      <w:r w:rsidRPr="001F4303">
        <w:t>types of glass and other materials, historically used in the leadlight and stained glass industry, their characteristics, properties, uses and limitations</w:t>
      </w:r>
    </w:p>
    <w:p w:rsidR="00000000" w:rsidRPr="001F4303" w:rsidP="001F4303">
      <w:pPr>
        <w:pStyle w:val="ListBullet"/>
      </w:pPr>
      <w:r w:rsidRPr="001F4303">
        <w:t>types, use and safe operation of tools and equipment used in leadlight and stained</w:t>
      </w:r>
      <w:r w:rsidRPr="001F4303">
        <w:t xml:space="preserve"> glass industry</w:t>
      </w:r>
    </w:p>
    <w:p w:rsidR="00000000" w:rsidRPr="001F4303" w:rsidP="001F4303">
      <w:pPr>
        <w:pStyle w:val="ListBullet"/>
      </w:pPr>
      <w:r w:rsidRPr="001F4303">
        <w:t>types of potential issues with leadlight and stained glass panels:</w:t>
      </w:r>
    </w:p>
    <w:p w:rsidR="00000000" w:rsidRPr="001F4303" w:rsidP="001F4303">
      <w:pPr>
        <w:pStyle w:val="ListBullet2"/>
      </w:pPr>
      <w:r w:rsidRPr="001F4303">
        <w:t>glass faults</w:t>
      </w:r>
    </w:p>
    <w:p w:rsidR="00000000" w:rsidRPr="001F4303" w:rsidP="001F4303">
      <w:pPr>
        <w:pStyle w:val="ListBullet2"/>
      </w:pPr>
      <w:r w:rsidRPr="001F4303">
        <w:t>structural faults</w:t>
      </w:r>
    </w:p>
    <w:p w:rsidR="00000000" w:rsidRPr="001F4303" w:rsidP="001F4303">
      <w:pPr>
        <w:pStyle w:val="ListBullet2"/>
      </w:pPr>
      <w:r w:rsidRPr="001F4303">
        <w:t>environmental impacts</w:t>
      </w:r>
    </w:p>
    <w:p w:rsidR="00000000" w:rsidRPr="001F4303" w:rsidP="001F4303">
      <w:pPr>
        <w:pStyle w:val="ListBullet"/>
      </w:pPr>
      <w:r w:rsidRPr="001F4303">
        <w:t xml:space="preserve">statutory requirements specific to leadlight and stained glass </w:t>
      </w:r>
    </w:p>
    <w:p w:rsidR="00000000" w:rsidRPr="001F4303" w:rsidP="001F4303">
      <w:pPr>
        <w:pStyle w:val="ListBullet"/>
      </w:pPr>
      <w:r w:rsidRPr="001F4303">
        <w:t>differences between preservation, restoration and re-c</w:t>
      </w:r>
      <w:r w:rsidRPr="001F4303">
        <w:t>onstruction</w:t>
      </w:r>
    </w:p>
    <w:p w:rsidR="00000000" w:rsidRPr="001F4303" w:rsidP="001F4303">
      <w:pPr>
        <w:pStyle w:val="ListBullet"/>
      </w:pPr>
      <w:r w:rsidRPr="001F4303">
        <w:t>problem identification and resolution in the heritage leadlight and stained glass environment</w:t>
      </w:r>
    </w:p>
    <w:p w:rsidR="00000000" w:rsidRPr="001F4303" w:rsidP="001F4303">
      <w:pPr>
        <w:pStyle w:val="ListBullet"/>
      </w:pPr>
      <w:r w:rsidRPr="001F4303">
        <w:t>features and inclusion of condition reports</w:t>
      </w:r>
    </w:p>
    <w:p w:rsidR="00D74B0B" w:rsidP="001F4303">
      <w:pPr>
        <w:pStyle w:val="ListBullet"/>
      </w:pPr>
      <w:r w:rsidRPr="001F4303">
        <w:t>professions and trades working alongside or in conjunction with leadlight and stained glass conservation.</w:t>
      </w:r>
    </w:p>
    <w:p w:rsidR="00D74B0B" w:rsidP="001F4303">
      <w:pPr>
        <w:pStyle w:val="ListBullet"/>
      </w:pPr>
    </w:p>
    <w:p w:rsidR="00000000" w:rsidRPr="001F4303" w:rsidP="001F4303">
      <w:pPr>
        <w:pStyle w:val="Heading1"/>
      </w:pPr>
      <w:bookmarkStart w:id="12" w:name="O_1014528"/>
      <w:bookmarkEnd w:id="12"/>
      <w:r w:rsidRPr="001F4303">
        <w:t>Assessment Conditions</w:t>
      </w:r>
    </w:p>
    <w:p w:rsidR="00000000" w:rsidRPr="001F4303" w:rsidP="00D74B0B">
      <w:pPr>
        <w:pStyle w:val="BodyText"/>
      </w:pPr>
      <w:r w:rsidRPr="001F430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F4303" w:rsidP="001F4303">
      <w:pPr>
        <w:pStyle w:val="ListBullet"/>
      </w:pPr>
      <w:r w:rsidRPr="001F4303">
        <w:t>use of suitable faciliti</w:t>
      </w:r>
      <w:r w:rsidRPr="001F4303">
        <w:t xml:space="preserve">es, equipment and resources, including: </w:t>
      </w:r>
    </w:p>
    <w:p w:rsidR="00000000" w:rsidRPr="001F4303" w:rsidP="001F4303">
      <w:pPr>
        <w:pStyle w:val="ListBullet2"/>
      </w:pPr>
      <w:r w:rsidRPr="001F4303">
        <w:t>stained glass and leadlight installations for assessment</w:t>
      </w:r>
    </w:p>
    <w:p w:rsidR="00000000" w:rsidRPr="001F4303" w:rsidP="001F4303">
      <w:pPr>
        <w:pStyle w:val="ListBullet2"/>
      </w:pPr>
      <w:r w:rsidRPr="001F4303">
        <w:t>stained glass and leadlighting tools, equipment and materials</w:t>
      </w:r>
    </w:p>
    <w:p w:rsidR="00000000" w:rsidRPr="001F4303" w:rsidP="001F4303">
      <w:pPr>
        <w:pStyle w:val="ListBullet2"/>
      </w:pPr>
      <w:r w:rsidRPr="001F4303">
        <w:t>photographic equipment.</w:t>
      </w:r>
    </w:p>
    <w:p w:rsidR="00D74B0B" w:rsidP="00D74B0B">
      <w:pPr>
        <w:pStyle w:val="BodyText"/>
      </w:pPr>
      <w:r w:rsidRPr="001F4303">
        <w:t>Assessors must satisfy the NVR/AQTF mandatory competency requirements f</w:t>
      </w:r>
      <w:r w:rsidRPr="001F4303">
        <w:t>or assessors.</w:t>
      </w:r>
    </w:p>
    <w:p w:rsidR="00000000" w:rsidRPr="001F4303" w:rsidP="001F4303">
      <w:pPr>
        <w:pStyle w:val="Heading1"/>
      </w:pPr>
      <w:bookmarkStart w:id="13" w:name="O_1014526"/>
      <w:bookmarkEnd w:id="13"/>
      <w:r w:rsidRPr="001F4303">
        <w:t>Links</w:t>
      </w:r>
    </w:p>
    <w:p w:rsidR="00000000" w:rsidRPr="001F4303" w:rsidP="00D74B0B">
      <w:pPr>
        <w:pStyle w:val="BodyText"/>
      </w:pPr>
      <w:r w:rsidRPr="001F4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838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F4303" w:rsidP="001F4303"/>
    <w:sectPr w:rsidSect="001F4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 w:rsidRPr="00D74B0B" w:rsidP="00D74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0B" w:rsidP="001F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B0B" w:rsidP="001F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4B0B" w:rsidP="001F4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 w:rsidP="001F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4B0B">
      <w:t>Approved</w:t>
    </w:r>
    <w:r w:rsidR="00D74B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4B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4B0B">
      <w:rPr>
        <w:noProof/>
      </w:rPr>
      <w:t>4</w:t>
    </w:r>
    <w:r>
      <w:rPr>
        <w:noProof/>
      </w:rPr>
      <w:fldChar w:fldCharType="end"/>
    </w:r>
  </w:p>
  <w:p w:rsidR="001F4303" w:rsidP="001F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4B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4B0B">
      <w:t>Skills Insight</w:t>
    </w:r>
    <w:r w:rsidR="00D74B0B">
      <w:fldChar w:fldCharType="end"/>
    </w:r>
  </w:p>
  <w:p w:rsidR="001F4303" w:rsidP="001F4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303" w:rsidRPr="00D74B0B" w:rsidP="00D74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0B" w:rsidRPr="002D2AF8" w:rsidP="001F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MSFDG5001 Assess conservation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4B0B" w:rsidP="001F4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03" w:rsidRPr="002D2AF8" w:rsidP="001F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4B0B">
      <w:t>MSFDG5001 Assess conservation requirements</w:t>
    </w:r>
    <w:r w:rsidR="00D74B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4B0B">
      <w:rPr>
        <w:noProof/>
      </w:rPr>
      <w:t>1 March 2025</w:t>
    </w:r>
    <w:r>
      <w:fldChar w:fldCharType="end"/>
    </w:r>
  </w:p>
  <w:p w:rsidR="001F4303" w:rsidP="001F4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86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E7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C1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303"/>
  </w:style>
  <w:style w:type="character" w:customStyle="1" w:styleId="Heading1Char">
    <w:name w:val="Heading 1 Char"/>
    <w:basedOn w:val="DefaultParagraphFont"/>
    <w:link w:val="Heading1"/>
    <w:rsid w:val="001F4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3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303"/>
    <w:rPr>
      <w:b/>
      <w:spacing w:val="0"/>
    </w:rPr>
  </w:style>
  <w:style w:type="paragraph" w:styleId="ListBullet2">
    <w:name w:val="List Bullet 2"/>
    <w:basedOn w:val="List2"/>
    <w:rsid w:val="001F43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4303"/>
    <w:rPr>
      <w:i/>
    </w:rPr>
  </w:style>
  <w:style w:type="paragraph" w:customStyle="1" w:styleId="SuperHeading">
    <w:name w:val="SuperHeading"/>
    <w:basedOn w:val="Normal"/>
    <w:rsid w:val="001F4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3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303"/>
  </w:style>
  <w:style w:type="paragraph" w:styleId="TableofFigures">
    <w:name w:val="table of figures"/>
    <w:basedOn w:val="Normal"/>
    <w:next w:val="Normal"/>
    <w:semiHidden/>
    <w:rsid w:val="001F4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3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4303"/>
    <w:rPr>
      <w:rFonts w:ascii="Wingdings" w:hAnsi="Wingdings"/>
    </w:rPr>
  </w:style>
  <w:style w:type="paragraph" w:customStyle="1" w:styleId="TableHeading">
    <w:name w:val="Table Heading"/>
    <w:basedOn w:val="HeadingBase"/>
    <w:rsid w:val="001F4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303"/>
    <w:rPr>
      <w:color w:val="0033CC"/>
      <w:u w:val="none"/>
    </w:rPr>
  </w:style>
  <w:style w:type="paragraph" w:customStyle="1" w:styleId="BodyTextRight">
    <w:name w:val="Body Text Right"/>
    <w:basedOn w:val="BodyText"/>
    <w:rsid w:val="001F4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3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303"/>
    <w:rPr>
      <w:sz w:val="32"/>
    </w:rPr>
  </w:style>
  <w:style w:type="paragraph" w:customStyle="1" w:styleId="HeadingProcedure">
    <w:name w:val="Heading Procedure"/>
    <w:basedOn w:val="HeadingBase"/>
    <w:next w:val="Normal"/>
    <w:rsid w:val="001F4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303"/>
    <w:pPr>
      <w:spacing w:before="60" w:after="60"/>
    </w:pPr>
  </w:style>
  <w:style w:type="paragraph" w:styleId="ListContinue">
    <w:name w:val="List Continue"/>
    <w:basedOn w:val="List"/>
    <w:rsid w:val="001F4303"/>
    <w:pPr>
      <w:ind w:firstLine="0"/>
    </w:pPr>
  </w:style>
  <w:style w:type="paragraph" w:customStyle="1" w:styleId="ListNote">
    <w:name w:val="List Note"/>
    <w:basedOn w:val="List"/>
    <w:rsid w:val="001F4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303"/>
    <w:rPr>
      <w:rFonts w:ascii="Courier New" w:hAnsi="Courier New"/>
    </w:rPr>
  </w:style>
  <w:style w:type="paragraph" w:customStyle="1" w:styleId="NoteBullet">
    <w:name w:val="Note Bullet"/>
    <w:basedOn w:val="Note"/>
    <w:rsid w:val="001F4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303"/>
    <w:rPr>
      <w:b/>
      <w:smallCaps/>
    </w:rPr>
  </w:style>
  <w:style w:type="paragraph" w:customStyle="1" w:styleId="TableListNumber">
    <w:name w:val="Table List Number"/>
    <w:basedOn w:val="ListNumber"/>
    <w:rsid w:val="001F4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303"/>
    <w:pPr>
      <w:numPr>
        <w:numId w:val="9"/>
      </w:numPr>
    </w:pPr>
  </w:style>
  <w:style w:type="paragraph" w:customStyle="1" w:styleId="ListAlpha2">
    <w:name w:val="List Alpha 2"/>
    <w:basedOn w:val="List2"/>
    <w:rsid w:val="001F4303"/>
    <w:pPr>
      <w:numPr>
        <w:numId w:val="8"/>
      </w:numPr>
    </w:pPr>
  </w:style>
  <w:style w:type="paragraph" w:styleId="List2">
    <w:name w:val="List 2"/>
    <w:basedOn w:val="BodyText"/>
    <w:rsid w:val="001F4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3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303"/>
    <w:pPr>
      <w:numPr>
        <w:numId w:val="4"/>
      </w:numPr>
    </w:pPr>
  </w:style>
  <w:style w:type="paragraph" w:styleId="ListContinue2">
    <w:name w:val="List Continue 2"/>
    <w:basedOn w:val="List2"/>
    <w:rsid w:val="001F4303"/>
    <w:pPr>
      <w:ind w:firstLine="0"/>
    </w:pPr>
  </w:style>
  <w:style w:type="paragraph" w:styleId="ListContinue3">
    <w:name w:val="List Continue 3"/>
    <w:basedOn w:val="List3"/>
    <w:rsid w:val="001F4303"/>
    <w:pPr>
      <w:ind w:left="1021" w:firstLine="0"/>
    </w:pPr>
  </w:style>
  <w:style w:type="paragraph" w:styleId="ListContinue4">
    <w:name w:val="List Continue 4"/>
    <w:basedOn w:val="List4"/>
    <w:rsid w:val="001F4303"/>
    <w:pPr>
      <w:ind w:firstLine="0"/>
    </w:pPr>
  </w:style>
  <w:style w:type="paragraph" w:styleId="ListContinue5">
    <w:name w:val="List Continue 5"/>
    <w:basedOn w:val="List5"/>
    <w:rsid w:val="001F4303"/>
    <w:pPr>
      <w:ind w:firstLine="0"/>
    </w:pPr>
  </w:style>
  <w:style w:type="paragraph" w:styleId="ListNumber3">
    <w:name w:val="List Number 3"/>
    <w:basedOn w:val="List3"/>
    <w:rsid w:val="001F4303"/>
    <w:pPr>
      <w:numPr>
        <w:numId w:val="5"/>
      </w:numPr>
    </w:pPr>
  </w:style>
  <w:style w:type="paragraph" w:styleId="ListNumber4">
    <w:name w:val="List Number 4"/>
    <w:basedOn w:val="List4"/>
    <w:rsid w:val="001F4303"/>
    <w:pPr>
      <w:numPr>
        <w:numId w:val="6"/>
      </w:numPr>
    </w:pPr>
  </w:style>
  <w:style w:type="paragraph" w:styleId="ListNumber5">
    <w:name w:val="List Number 5"/>
    <w:basedOn w:val="List5"/>
    <w:rsid w:val="001F4303"/>
    <w:pPr>
      <w:numPr>
        <w:numId w:val="7"/>
      </w:numPr>
    </w:pPr>
  </w:style>
  <w:style w:type="paragraph" w:styleId="BlockText">
    <w:name w:val="Block Text"/>
    <w:basedOn w:val="Normal"/>
    <w:rsid w:val="001F4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303"/>
    <w:rPr>
      <w:sz w:val="16"/>
      <w:vertAlign w:val="superscript"/>
    </w:rPr>
  </w:style>
  <w:style w:type="character" w:customStyle="1" w:styleId="Symbols">
    <w:name w:val="Symbols"/>
    <w:basedOn w:val="DefaultParagraphFont"/>
    <w:rsid w:val="001F4303"/>
    <w:rPr>
      <w:rFonts w:ascii="Symbol" w:hAnsi="Symbol"/>
    </w:rPr>
  </w:style>
  <w:style w:type="character" w:customStyle="1" w:styleId="MenuOptions">
    <w:name w:val="Menu Options"/>
    <w:basedOn w:val="DefaultParagraphFont"/>
    <w:rsid w:val="001F4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303"/>
    <w:rPr>
      <w:b/>
    </w:rPr>
  </w:style>
  <w:style w:type="character" w:customStyle="1" w:styleId="Underlined">
    <w:name w:val="Underlined"/>
    <w:basedOn w:val="DefaultParagraphFont"/>
    <w:rsid w:val="001F4303"/>
    <w:rPr>
      <w:u w:val="single"/>
    </w:rPr>
  </w:style>
  <w:style w:type="paragraph" w:customStyle="1" w:styleId="TableBodyTextRight">
    <w:name w:val="Table Body Text Right"/>
    <w:basedOn w:val="TableBodyText"/>
    <w:rsid w:val="001F4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303"/>
    <w:rPr>
      <w:sz w:val="18"/>
    </w:rPr>
  </w:style>
  <w:style w:type="paragraph" w:customStyle="1" w:styleId="BodySmallRight">
    <w:name w:val="Body Small Right"/>
    <w:basedOn w:val="BodyTextRight"/>
    <w:rsid w:val="001F4303"/>
    <w:rPr>
      <w:sz w:val="18"/>
      <w:szCs w:val="18"/>
    </w:rPr>
  </w:style>
  <w:style w:type="paragraph" w:customStyle="1" w:styleId="MarginEdition">
    <w:name w:val="Margin Edition"/>
    <w:basedOn w:val="MarginNote"/>
    <w:rsid w:val="001F4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303"/>
    <w:rPr>
      <w:sz w:val="2"/>
      <w:szCs w:val="2"/>
    </w:rPr>
  </w:style>
  <w:style w:type="character" w:customStyle="1" w:styleId="Small">
    <w:name w:val="Small"/>
    <w:basedOn w:val="DefaultParagraphFont"/>
    <w:rsid w:val="001F4303"/>
    <w:rPr>
      <w:sz w:val="16"/>
    </w:rPr>
  </w:style>
  <w:style w:type="paragraph" w:customStyle="1" w:styleId="WideTable">
    <w:name w:val="Wide Table"/>
    <w:basedOn w:val="Normal"/>
    <w:rsid w:val="001F4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303"/>
  </w:style>
  <w:style w:type="paragraph" w:styleId="Quote">
    <w:name w:val="Quote"/>
    <w:basedOn w:val="Heading1"/>
    <w:link w:val="QuoteChar"/>
    <w:qFormat/>
    <w:rsid w:val="001F4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303"/>
    <w:pPr>
      <w:pageBreakBefore/>
    </w:pPr>
  </w:style>
  <w:style w:type="paragraph" w:customStyle="1" w:styleId="Border">
    <w:name w:val="Border"/>
    <w:basedOn w:val="Normal"/>
    <w:qFormat/>
    <w:rsid w:val="001F4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303"/>
    <w:rPr>
      <w:u w:val="single"/>
    </w:rPr>
  </w:style>
  <w:style w:type="character" w:customStyle="1" w:styleId="BoldandItalics">
    <w:name w:val="Bold and Italics"/>
    <w:qFormat/>
    <w:rsid w:val="001F4303"/>
    <w:rPr>
      <w:b/>
      <w:i/>
      <w:u w:val="none"/>
    </w:rPr>
  </w:style>
  <w:style w:type="paragraph" w:styleId="BalloonText">
    <w:name w:val="Balloon Text"/>
    <w:basedOn w:val="Normal"/>
    <w:link w:val="BalloonTextChar"/>
    <w:rsid w:val="001F4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303"/>
    <w:pPr>
      <w:spacing w:before="0" w:after="0"/>
    </w:pPr>
  </w:style>
  <w:style w:type="paragraph" w:customStyle="1" w:styleId="BodyTextBold">
    <w:name w:val="Body Text Bold"/>
    <w:basedOn w:val="BodyText"/>
    <w:qFormat/>
    <w:rsid w:val="001F4303"/>
    <w:rPr>
      <w:b/>
    </w:rPr>
  </w:style>
  <w:style w:type="character" w:styleId="Hyperlink">
    <w:name w:val="Hyperlink"/>
    <w:basedOn w:val="DefaultParagraphFont"/>
    <w:uiPriority w:val="99"/>
    <w:unhideWhenUsed/>
    <w:rsid w:val="00D74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5855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MSFDG5001 Assess conservation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