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4B2" w:rsidP="00730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MSFDG5001 Assess conservation requirements</w:t>
      </w:r>
      <w:r>
        <w:fldChar w:fldCharType="end"/>
      </w:r>
    </w:p>
    <w:p w:rsidR="007304B2" w:rsidP="007304B2">
      <w:pPr>
        <w:pStyle w:val="Version"/>
        <w:sectPr w:rsidSect="00686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788" w:rsidP="00686788">
      <w:pPr>
        <w:pStyle w:val="SuperHeading"/>
      </w:pPr>
      <w:r w:rsidRPr="00686788">
        <w:t>Assessment Requirements for MSFDG5001 Assess conservation requirements</w:t>
      </w:r>
    </w:p>
    <w:p w:rsidR="00000000" w:rsidRPr="00686788" w:rsidP="00686788">
      <w:pPr>
        <w:pStyle w:val="Heading1"/>
      </w:pPr>
      <w:bookmarkStart w:id="1" w:name="O_1014527"/>
      <w:bookmarkEnd w:id="1"/>
      <w:r w:rsidRPr="00686788">
        <w:t>Modification History</w:t>
      </w:r>
    </w:p>
    <w:p w:rsidR="00000000" w:rsidRPr="00686788" w:rsidP="007304B2">
      <w:pPr>
        <w:pStyle w:val="BodyText"/>
      </w:pPr>
      <w:r w:rsidRPr="00686788">
        <w:t>Not applicable.</w:t>
      </w:r>
    </w:p>
    <w:p w:rsidR="00000000" w:rsidRPr="00686788" w:rsidP="00686788">
      <w:pPr>
        <w:pStyle w:val="Heading1"/>
      </w:pPr>
      <w:bookmarkStart w:id="2" w:name="O_1014530"/>
      <w:bookmarkEnd w:id="2"/>
      <w:r w:rsidRPr="00686788">
        <w:t>Performance Evidence</w:t>
      </w:r>
    </w:p>
    <w:p w:rsidR="00000000" w:rsidRPr="00686788" w:rsidP="007304B2">
      <w:pPr>
        <w:pStyle w:val="BodyText"/>
      </w:pPr>
      <w:r w:rsidRPr="00686788">
        <w:t xml:space="preserve">There must be evidence the candidate has completed the tasks outlined in the elements and performance criteria of this unit, and: </w:t>
      </w:r>
    </w:p>
    <w:p w:rsidR="00000000" w:rsidRPr="00686788" w:rsidP="00686788">
      <w:pPr>
        <w:pStyle w:val="ListBullet"/>
      </w:pPr>
      <w:r w:rsidRPr="00686788">
        <w:t>submitted a completed condition report for 4 installations:</w:t>
      </w:r>
    </w:p>
    <w:p w:rsidR="00000000" w:rsidRPr="00686788" w:rsidP="00686788">
      <w:pPr>
        <w:pStyle w:val="ListBullet2"/>
      </w:pPr>
      <w:r w:rsidRPr="00686788">
        <w:t>2 leadlight panels</w:t>
      </w:r>
    </w:p>
    <w:p w:rsidR="00000000" w:rsidRPr="00686788" w:rsidP="00686788">
      <w:pPr>
        <w:pStyle w:val="ListBullet2"/>
      </w:pPr>
      <w:r w:rsidRPr="00686788">
        <w:t>2 stained glass panels</w:t>
      </w:r>
    </w:p>
    <w:p w:rsidR="00000000" w:rsidRPr="00686788" w:rsidP="00686788">
      <w:pPr>
        <w:pStyle w:val="ListBullet"/>
      </w:pPr>
      <w:r w:rsidRPr="00686788">
        <w:t>produced a photograp</w:t>
      </w:r>
      <w:r w:rsidRPr="00686788">
        <w:t>hic sequence for each panel that shows the range of conservation issues for each panel</w:t>
      </w:r>
    </w:p>
    <w:p w:rsidR="007304B2" w:rsidP="00686788">
      <w:pPr>
        <w:pStyle w:val="ListBullet"/>
      </w:pPr>
      <w:r w:rsidRPr="00686788">
        <w:t>submitted 1 work plan for conservation requirements that includes an estimate of costs for all conservation work.</w:t>
      </w:r>
    </w:p>
    <w:p w:rsidR="007304B2" w:rsidP="00686788">
      <w:pPr>
        <w:pStyle w:val="ListBullet"/>
      </w:pPr>
    </w:p>
    <w:p w:rsidR="00000000" w:rsidRPr="00686788" w:rsidP="00686788">
      <w:pPr>
        <w:pStyle w:val="Heading1"/>
      </w:pPr>
      <w:bookmarkStart w:id="3" w:name="O_1014529"/>
      <w:bookmarkEnd w:id="3"/>
      <w:r w:rsidRPr="00686788">
        <w:t>Knowledge Evidence</w:t>
      </w:r>
    </w:p>
    <w:p w:rsidR="00000000" w:rsidRPr="00686788" w:rsidP="007304B2">
      <w:pPr>
        <w:pStyle w:val="BodyText"/>
      </w:pPr>
      <w:r w:rsidRPr="00686788">
        <w:t>There must be evidence the candidate has knowledge of:</w:t>
      </w:r>
    </w:p>
    <w:p w:rsidR="00000000" w:rsidRPr="00686788" w:rsidP="00686788">
      <w:pPr>
        <w:pStyle w:val="ListBullet"/>
      </w:pPr>
      <w:r w:rsidRPr="00686788">
        <w:t>state or territory work health and safety legislation, regulations, standards and codes of practice relevant to the full range of processes for leadlight and stained glass operations</w:t>
      </w:r>
    </w:p>
    <w:p w:rsidR="00000000" w:rsidRPr="00686788" w:rsidP="00686788">
      <w:pPr>
        <w:pStyle w:val="ListBullet"/>
      </w:pPr>
      <w:r w:rsidRPr="00686788">
        <w:t>organisational an</w:t>
      </w:r>
      <w:r w:rsidRPr="00686788">
        <w:t xml:space="preserve">d site standards, requirements, policies and procedures for the assessment of leadlight and stained glass panels </w:t>
      </w:r>
    </w:p>
    <w:p w:rsidR="00000000" w:rsidRPr="00686788" w:rsidP="00686788">
      <w:pPr>
        <w:pStyle w:val="ListBullet"/>
      </w:pPr>
      <w:r w:rsidRPr="00686788">
        <w:t>mathematical procedures for estimation and measurement</w:t>
      </w:r>
    </w:p>
    <w:p w:rsidR="00000000" w:rsidRPr="00686788" w:rsidP="00686788">
      <w:pPr>
        <w:pStyle w:val="ListBullet"/>
      </w:pPr>
      <w:r w:rsidRPr="00686788">
        <w:t>heritage legislation as it applies to leadlight and stained glass panels</w:t>
      </w:r>
    </w:p>
    <w:p w:rsidR="00000000" w:rsidRPr="00686788" w:rsidP="00686788">
      <w:pPr>
        <w:pStyle w:val="ListBullet"/>
      </w:pPr>
      <w:r w:rsidRPr="00686788">
        <w:t>historical lea</w:t>
      </w:r>
      <w:r w:rsidRPr="00686788">
        <w:t xml:space="preserve">dlight and stained glass panel construction methods </w:t>
      </w:r>
    </w:p>
    <w:p w:rsidR="00000000" w:rsidRPr="00686788" w:rsidP="00686788">
      <w:pPr>
        <w:pStyle w:val="ListBullet"/>
      </w:pPr>
      <w:r w:rsidRPr="00686788">
        <w:t>framing, structural and construction techniques relevant to leadlight and stained glass panels</w:t>
      </w:r>
    </w:p>
    <w:p w:rsidR="00000000" w:rsidRPr="00686788" w:rsidP="00686788">
      <w:pPr>
        <w:pStyle w:val="ListBullet"/>
      </w:pPr>
      <w:r w:rsidRPr="00686788">
        <w:t>leadlight and stained glass panels construction and repair terminology and techniques</w:t>
      </w:r>
    </w:p>
    <w:p w:rsidR="00000000" w:rsidRPr="00686788" w:rsidP="00686788">
      <w:pPr>
        <w:pStyle w:val="ListBullet"/>
      </w:pPr>
      <w:r w:rsidRPr="00686788">
        <w:t>principles and guideli</w:t>
      </w:r>
      <w:r w:rsidRPr="00686788">
        <w:t>nes of the Australia International Council on Monuments and Sites (ICOMOS) Burra Charter</w:t>
      </w:r>
    </w:p>
    <w:p w:rsidR="00000000" w:rsidRPr="00686788" w:rsidP="00686788">
      <w:pPr>
        <w:pStyle w:val="ListBullet"/>
      </w:pPr>
      <w:r w:rsidRPr="00686788">
        <w:t>types of plans and other documentation used to inform conservation assessment</w:t>
      </w:r>
    </w:p>
    <w:p w:rsidR="00000000" w:rsidRPr="00686788" w:rsidP="00686788">
      <w:pPr>
        <w:pStyle w:val="ListBullet"/>
      </w:pPr>
      <w:r w:rsidRPr="00686788">
        <w:t xml:space="preserve">types of glass and other materials, historically used in the leadlight and stained glass </w:t>
      </w:r>
      <w:r w:rsidRPr="00686788">
        <w:t>industry, their characteristics, properties, uses and limitations</w:t>
      </w:r>
    </w:p>
    <w:p w:rsidR="00000000" w:rsidRPr="00686788" w:rsidP="00686788">
      <w:pPr>
        <w:pStyle w:val="ListBullet"/>
      </w:pPr>
      <w:r w:rsidRPr="00686788">
        <w:t>types, use and safe operation of tools and equipment used in leadlight and stained glass industry</w:t>
      </w:r>
    </w:p>
    <w:p w:rsidR="00000000" w:rsidRPr="00686788" w:rsidP="00686788">
      <w:pPr>
        <w:pStyle w:val="ListBullet"/>
      </w:pPr>
      <w:r w:rsidRPr="00686788">
        <w:t>types of potential issues with leadlight and stained glass panels:</w:t>
      </w:r>
    </w:p>
    <w:p w:rsidR="00000000" w:rsidRPr="00686788" w:rsidP="00686788">
      <w:pPr>
        <w:pStyle w:val="ListBullet2"/>
      </w:pPr>
      <w:r w:rsidRPr="00686788">
        <w:t>glass faults</w:t>
      </w:r>
    </w:p>
    <w:p w:rsidR="00000000" w:rsidRPr="00686788" w:rsidP="00686788">
      <w:pPr>
        <w:pStyle w:val="ListBullet2"/>
      </w:pPr>
      <w:r w:rsidRPr="00686788">
        <w:t>structural faults</w:t>
      </w:r>
    </w:p>
    <w:p w:rsidR="00000000" w:rsidRPr="00686788" w:rsidP="00686788">
      <w:pPr>
        <w:pStyle w:val="ListBullet2"/>
      </w:pPr>
      <w:r w:rsidRPr="00686788">
        <w:t>environmental impacts</w:t>
      </w:r>
    </w:p>
    <w:p w:rsidR="00000000" w:rsidRPr="00686788" w:rsidP="00686788">
      <w:pPr>
        <w:pStyle w:val="ListBullet"/>
      </w:pPr>
      <w:r w:rsidRPr="00686788">
        <w:t xml:space="preserve">statutory requirements specific to leadlight and stained glass </w:t>
      </w:r>
    </w:p>
    <w:p w:rsidR="00000000" w:rsidRPr="00686788" w:rsidP="00686788">
      <w:pPr>
        <w:pStyle w:val="ListBullet"/>
      </w:pPr>
      <w:r w:rsidRPr="00686788">
        <w:t>differences between preservation, restoration and re-construction</w:t>
      </w:r>
    </w:p>
    <w:p w:rsidR="00000000" w:rsidRPr="00686788" w:rsidP="00686788">
      <w:pPr>
        <w:pStyle w:val="ListBullet"/>
      </w:pPr>
      <w:r w:rsidRPr="00686788">
        <w:t>problem identification and resolution in the heritage leadlight and stained glass env</w:t>
      </w:r>
      <w:r w:rsidRPr="00686788">
        <w:t>ironment</w:t>
      </w:r>
    </w:p>
    <w:p w:rsidR="00000000" w:rsidRPr="00686788" w:rsidP="00686788">
      <w:pPr>
        <w:pStyle w:val="ListBullet"/>
      </w:pPr>
      <w:r w:rsidRPr="00686788">
        <w:t>features and inclusion of condition reports</w:t>
      </w:r>
    </w:p>
    <w:p w:rsidR="007304B2" w:rsidP="00686788">
      <w:pPr>
        <w:pStyle w:val="ListBullet"/>
      </w:pPr>
      <w:r w:rsidRPr="00686788">
        <w:t>professions and trades working alongside or in conjunction with leadlight and stained glass conservation.</w:t>
      </w:r>
    </w:p>
    <w:p w:rsidR="007304B2" w:rsidP="00686788">
      <w:pPr>
        <w:pStyle w:val="ListBullet"/>
      </w:pPr>
    </w:p>
    <w:p w:rsidR="00000000" w:rsidRPr="00686788" w:rsidP="00686788">
      <w:pPr>
        <w:pStyle w:val="Heading1"/>
      </w:pPr>
      <w:bookmarkStart w:id="4" w:name="O_1014528"/>
      <w:bookmarkEnd w:id="4"/>
      <w:r w:rsidRPr="00686788">
        <w:t>Assessment Conditions</w:t>
      </w:r>
    </w:p>
    <w:p w:rsidR="00000000" w:rsidRPr="00686788" w:rsidP="007304B2">
      <w:pPr>
        <w:pStyle w:val="BodyText"/>
      </w:pPr>
      <w:r w:rsidRPr="00686788">
        <w:t xml:space="preserve">Skills must have been demonstrated in the workplace or </w:t>
      </w:r>
      <w:r w:rsidRPr="00686788">
        <w:t xml:space="preserve">in a simulated environment that reflects workplace conditions and contingencies. The following conditions must be met for this unit: </w:t>
      </w:r>
    </w:p>
    <w:p w:rsidR="00000000" w:rsidRPr="00686788" w:rsidP="00686788">
      <w:pPr>
        <w:pStyle w:val="ListBullet"/>
      </w:pPr>
      <w:r w:rsidRPr="00686788">
        <w:t xml:space="preserve">use of suitable facilities, equipment and resources, including: </w:t>
      </w:r>
    </w:p>
    <w:p w:rsidR="00000000" w:rsidRPr="00686788" w:rsidP="00686788">
      <w:pPr>
        <w:pStyle w:val="ListBullet2"/>
      </w:pPr>
      <w:r w:rsidRPr="00686788">
        <w:t>stained glass and leadlight installations for assessmen</w:t>
      </w:r>
      <w:r w:rsidRPr="00686788">
        <w:t>t</w:t>
      </w:r>
    </w:p>
    <w:p w:rsidR="00000000" w:rsidRPr="00686788" w:rsidP="00686788">
      <w:pPr>
        <w:pStyle w:val="ListBullet2"/>
      </w:pPr>
      <w:r w:rsidRPr="00686788">
        <w:t>stained glass and leadlighting tools, equipment and materials</w:t>
      </w:r>
    </w:p>
    <w:p w:rsidR="00000000" w:rsidRPr="00686788" w:rsidP="00686788">
      <w:pPr>
        <w:pStyle w:val="ListBullet2"/>
      </w:pPr>
      <w:r w:rsidRPr="00686788">
        <w:t>photographic equipment.</w:t>
      </w:r>
    </w:p>
    <w:p w:rsidR="007304B2" w:rsidP="007304B2">
      <w:pPr>
        <w:pStyle w:val="BodyText"/>
      </w:pPr>
      <w:r w:rsidRPr="00686788">
        <w:t>Assessors must satisfy the NVR/AQTF mandatory competency requirements for assessors.</w:t>
      </w:r>
    </w:p>
    <w:p w:rsidR="00000000" w:rsidRPr="00686788" w:rsidP="00686788">
      <w:pPr>
        <w:pStyle w:val="Heading1"/>
      </w:pPr>
      <w:bookmarkStart w:id="5" w:name="O_1014526"/>
      <w:bookmarkEnd w:id="5"/>
      <w:r w:rsidRPr="00686788">
        <w:t>Links</w:t>
      </w:r>
    </w:p>
    <w:p w:rsidR="00000000" w:rsidRPr="00686788" w:rsidP="007304B2">
      <w:pPr>
        <w:pStyle w:val="BodyText"/>
      </w:pPr>
      <w:r w:rsidRPr="00686788">
        <w:t>Companion Vol</w:t>
      </w:r>
      <w:r w:rsidRPr="00686788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B2C3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86788" w:rsidP="00686788"/>
    <w:sectPr w:rsidSect="006867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88" w:rsidRPr="007304B2" w:rsidP="00730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B2" w:rsidP="00686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04B2" w:rsidP="00686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04B2" w:rsidP="00686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788" w:rsidRPr="007304B2" w:rsidP="00730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4B2" w:rsidRPr="002D2AF8" w:rsidP="00686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MSFDG5001 Assess conservation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7304B2" w:rsidP="00686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61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6E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88E3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788"/>
  </w:style>
  <w:style w:type="character" w:customStyle="1" w:styleId="Heading1Char">
    <w:name w:val="Heading 1 Char"/>
    <w:basedOn w:val="DefaultParagraphFont"/>
    <w:link w:val="Heading1"/>
    <w:rsid w:val="00686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7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67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6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6788"/>
    <w:rPr>
      <w:b/>
      <w:spacing w:val="0"/>
    </w:rPr>
  </w:style>
  <w:style w:type="paragraph" w:customStyle="1" w:styleId="SuperTitle">
    <w:name w:val="SuperTitle"/>
    <w:basedOn w:val="Title"/>
    <w:rsid w:val="00686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6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788"/>
    <w:rPr>
      <w:i/>
    </w:rPr>
  </w:style>
  <w:style w:type="paragraph" w:styleId="Caption">
    <w:name w:val="caption"/>
    <w:basedOn w:val="BodyText"/>
    <w:next w:val="Normal"/>
    <w:qFormat/>
    <w:rsid w:val="00686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788"/>
  </w:style>
  <w:style w:type="paragraph" w:styleId="TableofFigures">
    <w:name w:val="table of figures"/>
    <w:basedOn w:val="Normal"/>
    <w:next w:val="Normal"/>
    <w:semiHidden/>
    <w:rsid w:val="00686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7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6788"/>
    <w:rPr>
      <w:rFonts w:ascii="Wingdings" w:hAnsi="Wingdings"/>
    </w:rPr>
  </w:style>
  <w:style w:type="paragraph" w:customStyle="1" w:styleId="TableHeading">
    <w:name w:val="Table Heading"/>
    <w:basedOn w:val="HeadingBase"/>
    <w:rsid w:val="00686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788"/>
    <w:rPr>
      <w:color w:val="0033CC"/>
      <w:u w:val="none"/>
    </w:rPr>
  </w:style>
  <w:style w:type="paragraph" w:customStyle="1" w:styleId="BodyTextRight">
    <w:name w:val="Body Text Right"/>
    <w:basedOn w:val="BodyText"/>
    <w:rsid w:val="00686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7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788"/>
    <w:rPr>
      <w:sz w:val="32"/>
    </w:rPr>
  </w:style>
  <w:style w:type="paragraph" w:customStyle="1" w:styleId="HeadingProcedure">
    <w:name w:val="Heading Procedure"/>
    <w:basedOn w:val="HeadingBase"/>
    <w:next w:val="Normal"/>
    <w:rsid w:val="00686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788"/>
    <w:pPr>
      <w:spacing w:before="60" w:after="60"/>
    </w:pPr>
  </w:style>
  <w:style w:type="paragraph" w:styleId="ListContinue">
    <w:name w:val="List Continue"/>
    <w:basedOn w:val="List"/>
    <w:rsid w:val="00686788"/>
    <w:pPr>
      <w:ind w:firstLine="0"/>
    </w:pPr>
  </w:style>
  <w:style w:type="paragraph" w:customStyle="1" w:styleId="ListNote">
    <w:name w:val="List Note"/>
    <w:basedOn w:val="List"/>
    <w:rsid w:val="00686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788"/>
    <w:rPr>
      <w:rFonts w:ascii="Courier New" w:hAnsi="Courier New"/>
    </w:rPr>
  </w:style>
  <w:style w:type="paragraph" w:customStyle="1" w:styleId="NoteBullet">
    <w:name w:val="Note Bullet"/>
    <w:basedOn w:val="Note"/>
    <w:rsid w:val="00686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7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6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788"/>
    <w:rPr>
      <w:b/>
      <w:smallCaps/>
    </w:rPr>
  </w:style>
  <w:style w:type="paragraph" w:customStyle="1" w:styleId="TableListNumber">
    <w:name w:val="Table List Number"/>
    <w:basedOn w:val="ListNumber"/>
    <w:rsid w:val="00686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788"/>
    <w:pPr>
      <w:numPr>
        <w:numId w:val="9"/>
      </w:numPr>
    </w:pPr>
  </w:style>
  <w:style w:type="paragraph" w:customStyle="1" w:styleId="ListAlpha2">
    <w:name w:val="List Alpha 2"/>
    <w:basedOn w:val="List2"/>
    <w:rsid w:val="00686788"/>
    <w:pPr>
      <w:numPr>
        <w:numId w:val="8"/>
      </w:numPr>
    </w:pPr>
  </w:style>
  <w:style w:type="paragraph" w:styleId="List2">
    <w:name w:val="List 2"/>
    <w:basedOn w:val="BodyText"/>
    <w:rsid w:val="00686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7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7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6788"/>
    <w:pPr>
      <w:numPr>
        <w:numId w:val="4"/>
      </w:numPr>
    </w:pPr>
  </w:style>
  <w:style w:type="paragraph" w:styleId="ListContinue2">
    <w:name w:val="List Continue 2"/>
    <w:basedOn w:val="List2"/>
    <w:rsid w:val="00686788"/>
    <w:pPr>
      <w:ind w:firstLine="0"/>
    </w:pPr>
  </w:style>
  <w:style w:type="paragraph" w:styleId="ListContinue3">
    <w:name w:val="List Continue 3"/>
    <w:basedOn w:val="List3"/>
    <w:rsid w:val="00686788"/>
    <w:pPr>
      <w:ind w:left="1021" w:firstLine="0"/>
    </w:pPr>
  </w:style>
  <w:style w:type="paragraph" w:styleId="ListContinue4">
    <w:name w:val="List Continue 4"/>
    <w:basedOn w:val="List4"/>
    <w:rsid w:val="00686788"/>
    <w:pPr>
      <w:ind w:firstLine="0"/>
    </w:pPr>
  </w:style>
  <w:style w:type="paragraph" w:styleId="ListContinue5">
    <w:name w:val="List Continue 5"/>
    <w:basedOn w:val="List5"/>
    <w:rsid w:val="00686788"/>
    <w:pPr>
      <w:ind w:firstLine="0"/>
    </w:pPr>
  </w:style>
  <w:style w:type="paragraph" w:styleId="ListNumber3">
    <w:name w:val="List Number 3"/>
    <w:basedOn w:val="List3"/>
    <w:rsid w:val="00686788"/>
    <w:pPr>
      <w:numPr>
        <w:numId w:val="5"/>
      </w:numPr>
    </w:pPr>
  </w:style>
  <w:style w:type="paragraph" w:styleId="ListNumber4">
    <w:name w:val="List Number 4"/>
    <w:basedOn w:val="List4"/>
    <w:rsid w:val="00686788"/>
    <w:pPr>
      <w:numPr>
        <w:numId w:val="6"/>
      </w:numPr>
    </w:pPr>
  </w:style>
  <w:style w:type="paragraph" w:styleId="ListNumber5">
    <w:name w:val="List Number 5"/>
    <w:basedOn w:val="List5"/>
    <w:rsid w:val="00686788"/>
    <w:pPr>
      <w:numPr>
        <w:numId w:val="7"/>
      </w:numPr>
    </w:pPr>
  </w:style>
  <w:style w:type="paragraph" w:styleId="BlockText">
    <w:name w:val="Block Text"/>
    <w:basedOn w:val="Normal"/>
    <w:rsid w:val="00686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788"/>
    <w:rPr>
      <w:sz w:val="16"/>
      <w:vertAlign w:val="superscript"/>
    </w:rPr>
  </w:style>
  <w:style w:type="character" w:customStyle="1" w:styleId="Symbols">
    <w:name w:val="Symbols"/>
    <w:basedOn w:val="DefaultParagraphFont"/>
    <w:rsid w:val="00686788"/>
    <w:rPr>
      <w:rFonts w:ascii="Symbol" w:hAnsi="Symbol"/>
    </w:rPr>
  </w:style>
  <w:style w:type="character" w:customStyle="1" w:styleId="MenuOptions">
    <w:name w:val="Menu Options"/>
    <w:basedOn w:val="DefaultParagraphFont"/>
    <w:rsid w:val="00686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788"/>
    <w:rPr>
      <w:b/>
    </w:rPr>
  </w:style>
  <w:style w:type="character" w:customStyle="1" w:styleId="Underlined">
    <w:name w:val="Underlined"/>
    <w:basedOn w:val="DefaultParagraphFont"/>
    <w:rsid w:val="00686788"/>
    <w:rPr>
      <w:u w:val="single"/>
    </w:rPr>
  </w:style>
  <w:style w:type="paragraph" w:customStyle="1" w:styleId="TableBodyTextRight">
    <w:name w:val="Table Body Text Right"/>
    <w:basedOn w:val="TableBodyText"/>
    <w:rsid w:val="00686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788"/>
    <w:rPr>
      <w:sz w:val="18"/>
    </w:rPr>
  </w:style>
  <w:style w:type="paragraph" w:customStyle="1" w:styleId="BodySmallRight">
    <w:name w:val="Body Small Right"/>
    <w:basedOn w:val="BodyTextRight"/>
    <w:rsid w:val="00686788"/>
    <w:rPr>
      <w:sz w:val="18"/>
      <w:szCs w:val="18"/>
    </w:rPr>
  </w:style>
  <w:style w:type="paragraph" w:customStyle="1" w:styleId="MarginEdition">
    <w:name w:val="Margin Edition"/>
    <w:basedOn w:val="MarginNote"/>
    <w:rsid w:val="00686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788"/>
    <w:rPr>
      <w:sz w:val="2"/>
      <w:szCs w:val="2"/>
    </w:rPr>
  </w:style>
  <w:style w:type="character" w:customStyle="1" w:styleId="Small">
    <w:name w:val="Small"/>
    <w:basedOn w:val="DefaultParagraphFont"/>
    <w:rsid w:val="00686788"/>
    <w:rPr>
      <w:sz w:val="16"/>
    </w:rPr>
  </w:style>
  <w:style w:type="paragraph" w:customStyle="1" w:styleId="WideTable">
    <w:name w:val="Wide Table"/>
    <w:basedOn w:val="Normal"/>
    <w:rsid w:val="00686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788"/>
  </w:style>
  <w:style w:type="paragraph" w:styleId="Quote">
    <w:name w:val="Quote"/>
    <w:basedOn w:val="Heading1"/>
    <w:link w:val="QuoteChar"/>
    <w:qFormat/>
    <w:rsid w:val="00686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788"/>
    <w:pPr>
      <w:pageBreakBefore/>
    </w:pPr>
  </w:style>
  <w:style w:type="paragraph" w:customStyle="1" w:styleId="Border">
    <w:name w:val="Border"/>
    <w:basedOn w:val="Normal"/>
    <w:qFormat/>
    <w:rsid w:val="00686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788"/>
    <w:rPr>
      <w:u w:val="single"/>
    </w:rPr>
  </w:style>
  <w:style w:type="character" w:customStyle="1" w:styleId="BoldandItalics">
    <w:name w:val="Bold and Italics"/>
    <w:qFormat/>
    <w:rsid w:val="00686788"/>
    <w:rPr>
      <w:b/>
      <w:i/>
      <w:u w:val="none"/>
    </w:rPr>
  </w:style>
  <w:style w:type="paragraph" w:styleId="BalloonText">
    <w:name w:val="Balloon Text"/>
    <w:basedOn w:val="Normal"/>
    <w:link w:val="BalloonTextChar"/>
    <w:rsid w:val="00686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788"/>
    <w:pPr>
      <w:spacing w:before="0" w:after="0"/>
    </w:pPr>
  </w:style>
  <w:style w:type="paragraph" w:customStyle="1" w:styleId="BodyTextBold">
    <w:name w:val="Body Text Bold"/>
    <w:basedOn w:val="BodyText"/>
    <w:qFormat/>
    <w:rsid w:val="00686788"/>
    <w:rPr>
      <w:b/>
    </w:rPr>
  </w:style>
  <w:style w:type="character" w:styleId="Hyperlink">
    <w:name w:val="Hyperlink"/>
    <w:basedOn w:val="DefaultParagraphFont"/>
    <w:uiPriority w:val="99"/>
    <w:unhideWhenUsed/>
    <w:rsid w:val="00730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2779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MSFDG5001 Assess conservation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2020-05-07T02:10:00Z</dcterms:created>
  <dcterms:modified xsi:type="dcterms:W3CDTF">2020-05-07T02:10:00Z</dcterms:modified>
</cp:coreProperties>
</file>