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547" w:rsidP="00B225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MSFDG3004 Assemble copper foil glass components</w:t>
      </w:r>
      <w:r>
        <w:fldChar w:fldCharType="end"/>
      </w:r>
    </w:p>
    <w:p w:rsidR="00B22547" w:rsidP="00B22547">
      <w:pPr>
        <w:pStyle w:val="Version"/>
        <w:sectPr w:rsidSect="00C970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70CF" w:rsidP="00C970CF">
      <w:pPr>
        <w:pStyle w:val="SuperHeading"/>
      </w:pPr>
      <w:r w:rsidRPr="00C970CF">
        <w:t>MSFDG3004 Assemble copper foil glass components</w:t>
      </w:r>
    </w:p>
    <w:p w:rsidR="00000000" w:rsidRPr="00C970CF" w:rsidP="00C970CF">
      <w:pPr>
        <w:pStyle w:val="Heading1"/>
      </w:pPr>
      <w:bookmarkStart w:id="1" w:name="O_1014480"/>
      <w:bookmarkEnd w:id="1"/>
      <w:r w:rsidRPr="00C970CF">
        <w:t>Modification History</w:t>
      </w:r>
    </w:p>
    <w:p w:rsidR="00000000" w:rsidRPr="00C970CF" w:rsidP="00B22547">
      <w:pPr>
        <w:pStyle w:val="BodyText"/>
      </w:pPr>
      <w:r w:rsidRPr="00C970CF">
        <w:t>Release 1. Supersedes and is equivalent to MSFSL3006 Assemble copper foil glass components.</w:t>
      </w:r>
    </w:p>
    <w:p w:rsidR="00000000" w:rsidRPr="00C970CF" w:rsidP="00C970CF">
      <w:pPr>
        <w:pStyle w:val="Heading1"/>
      </w:pPr>
      <w:bookmarkStart w:id="2" w:name="O_1014486"/>
      <w:bookmarkEnd w:id="2"/>
      <w:r w:rsidRPr="00C970CF">
        <w:t>Application</w:t>
      </w:r>
    </w:p>
    <w:p w:rsidR="00000000" w:rsidRPr="00C970CF" w:rsidP="00B22547">
      <w:pPr>
        <w:pStyle w:val="BodyText"/>
      </w:pPr>
      <w:r w:rsidRPr="00C970CF">
        <w:t xml:space="preserve">This unit describes the skills and knowledge required to assemble copper foil components using a range </w:t>
      </w:r>
      <w:r w:rsidRPr="00C970CF">
        <w:t>of fixing and joining components.</w:t>
      </w:r>
    </w:p>
    <w:p w:rsidR="00000000" w:rsidRPr="00C970CF" w:rsidP="00B22547">
      <w:pPr>
        <w:pStyle w:val="BodyText"/>
      </w:pPr>
      <w:r w:rsidRPr="00C970CF">
        <w:t>This unit applies to individuals working with designed glass.</w:t>
      </w:r>
    </w:p>
    <w:p w:rsidR="00B22547" w:rsidP="00B22547">
      <w:pPr>
        <w:pStyle w:val="BodyText"/>
      </w:pPr>
      <w:r w:rsidRPr="00C970CF">
        <w:t>No licensing or certification requirements exist at the time of publication. Relevant legislation, industry standards and codes of practice within Australia mus</w:t>
      </w:r>
      <w:r w:rsidRPr="00C970CF">
        <w:t>t be applied.</w:t>
      </w:r>
    </w:p>
    <w:p w:rsidR="00000000" w:rsidRPr="00C970CF" w:rsidP="00C970CF">
      <w:pPr>
        <w:pStyle w:val="Heading1"/>
      </w:pPr>
      <w:bookmarkStart w:id="3" w:name="O_1014485"/>
      <w:bookmarkEnd w:id="3"/>
      <w:r w:rsidRPr="00C970CF">
        <w:t>Pre-requisite Unit</w:t>
      </w:r>
    </w:p>
    <w:p w:rsidR="00B22547" w:rsidP="00B22547">
      <w:pPr>
        <w:pStyle w:val="BodyText"/>
      </w:pPr>
      <w:r w:rsidRPr="00C970CF">
        <w:t>N/A</w:t>
      </w:r>
    </w:p>
    <w:p w:rsidR="00000000" w:rsidRPr="00C970CF" w:rsidP="00C970CF">
      <w:pPr>
        <w:pStyle w:val="Heading1"/>
      </w:pPr>
      <w:bookmarkStart w:id="4" w:name="O_1014484"/>
      <w:bookmarkEnd w:id="4"/>
      <w:r w:rsidRPr="00C970CF">
        <w:t>Unit Sector</w:t>
      </w:r>
    </w:p>
    <w:p w:rsidR="00000000" w:rsidRPr="00C970CF" w:rsidP="00B22547">
      <w:pPr>
        <w:pStyle w:val="BodyText"/>
      </w:pPr>
      <w:r w:rsidRPr="00C970CF">
        <w:t>Leadlight and Stained Glass</w:t>
      </w:r>
    </w:p>
    <w:p w:rsidR="00000000" w:rsidRPr="00C970CF" w:rsidP="00C970CF">
      <w:pPr>
        <w:pStyle w:val="Heading1"/>
      </w:pPr>
      <w:bookmarkStart w:id="5" w:name="O_1014483"/>
      <w:bookmarkEnd w:id="5"/>
      <w:r w:rsidRPr="00C970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B2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CF" w:rsidP="00C970CF">
            <w:pPr>
              <w:pStyle w:val="BodyText"/>
            </w:pPr>
            <w:r w:rsidRPr="00C970C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rPr>
                <w:rStyle w:val="SpecialBold"/>
              </w:rPr>
              <w:t>Performance Criteria</w:t>
            </w:r>
          </w:p>
        </w:tc>
      </w:tr>
      <w:tr w:rsidTr="00B2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CF" w:rsidP="00C970CF">
            <w:pPr>
              <w:pStyle w:val="BodyText"/>
            </w:pPr>
            <w:r w:rsidRPr="00C970CF">
              <w:rPr>
                <w:rStyle w:val="Emphasis"/>
              </w:rPr>
              <w:t xml:space="preserve">Elements describe the </w:t>
            </w:r>
            <w:r w:rsidRPr="00C970CF">
              <w:t xml:space="preserve">essential </w:t>
            </w:r>
            <w:r w:rsidRPr="00C970C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t>1. Determine job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CF" w:rsidP="00C970CF">
            <w:pPr>
              <w:pStyle w:val="BodyText"/>
            </w:pPr>
            <w:r w:rsidRPr="00C970CF">
              <w:t xml:space="preserve">1.1 Identify and follow work health and safety requirements and other workplace procedures. </w:t>
            </w:r>
          </w:p>
          <w:p w:rsidR="00000000" w:rsidRPr="00C970CF" w:rsidP="00C970CF">
            <w:pPr>
              <w:pStyle w:val="BodyText"/>
            </w:pPr>
            <w:r w:rsidRPr="00C970CF">
              <w:t>1.2 Use personal protective equipmen</w:t>
            </w:r>
            <w:r w:rsidRPr="00C970CF">
              <w:t>t in accordance with workplace procedures</w:t>
            </w:r>
          </w:p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t>1.3 Identify job requirements from specifications, drawings, designs, job sheets or work instructions</w:t>
            </w:r>
          </w:p>
        </w:tc>
      </w:tr>
      <w:tr w:rsidTr="00B2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t>2. Plan and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CF" w:rsidP="00C970CF">
            <w:pPr>
              <w:pStyle w:val="BodyText"/>
            </w:pPr>
            <w:r w:rsidRPr="00C970CF">
              <w:t>2.1 Select and service tools and equipment, and identify rectify or report any fau</w:t>
            </w:r>
            <w:r w:rsidRPr="00C970CF">
              <w:t xml:space="preserve">lts prior to commencement </w:t>
            </w:r>
          </w:p>
          <w:p w:rsidR="00000000" w:rsidRPr="00C970CF" w:rsidP="00C970CF">
            <w:pPr>
              <w:pStyle w:val="BodyText"/>
            </w:pPr>
            <w:r w:rsidRPr="00C970CF">
              <w:t xml:space="preserve">2.2 Identify and obtain materials appropriate to the work application </w:t>
            </w:r>
            <w:r w:rsidRPr="00C970CF">
              <w:t>ensuring they are prepared, safely handled and located ready for use</w:t>
            </w:r>
          </w:p>
          <w:p w:rsidR="00000000" w:rsidRPr="00C970CF" w:rsidP="00C970CF">
            <w:pPr>
              <w:pStyle w:val="BodyText"/>
            </w:pPr>
            <w:r w:rsidRPr="00C970CF">
              <w:t xml:space="preserve">2.3 Identify and apply environmental workplace considerations and measures to reduce noise, dust and obstacles </w:t>
            </w:r>
          </w:p>
          <w:p w:rsidR="00000000" w:rsidRPr="00C970CF" w:rsidP="00C970CF">
            <w:pPr>
              <w:pStyle w:val="BodyText"/>
            </w:pPr>
            <w:r w:rsidRPr="00C970CF">
              <w:t>2.4 Plan assembly sequence based on job requirements</w:t>
            </w:r>
          </w:p>
          <w:p w:rsidR="00000000" w:rsidRPr="00C970CF" w:rsidP="00C970CF">
            <w:pPr>
              <w:pStyle w:val="BodyText"/>
            </w:pPr>
            <w:r w:rsidRPr="00C970CF">
              <w:t>2.5 Select fixing and joining devices in accordance with types of materials to be joined an</w:t>
            </w:r>
            <w:r w:rsidRPr="00C970CF">
              <w:t>d job requirements</w:t>
            </w:r>
          </w:p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t>2.6 Select and check jigs for suitability for the work</w:t>
            </w:r>
          </w:p>
        </w:tc>
      </w:tr>
      <w:tr w:rsidTr="00B2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t>3. Assemble components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CF" w:rsidP="00C970CF">
            <w:pPr>
              <w:pStyle w:val="BodyText"/>
            </w:pPr>
            <w:r w:rsidRPr="00C970CF">
              <w:t>3.1 Lay out and assemble components using jigs and appropriate fastenings</w:t>
            </w:r>
          </w:p>
          <w:p w:rsidR="00000000" w:rsidRPr="00C970CF" w:rsidP="00C970CF">
            <w:pPr>
              <w:pStyle w:val="BodyText"/>
            </w:pPr>
            <w:r w:rsidRPr="00C970CF">
              <w:t xml:space="preserve">3.2 Use hand and power tools correctly in accordance with job requirements </w:t>
            </w:r>
          </w:p>
          <w:p w:rsidR="00000000" w:rsidRPr="00C970CF" w:rsidP="00C970CF">
            <w:pPr>
              <w:pStyle w:val="BodyText"/>
            </w:pPr>
            <w:r w:rsidRPr="00C970CF">
              <w:t>3.3 Chec</w:t>
            </w:r>
            <w:r w:rsidRPr="00C970CF">
              <w:t>k assembled work for compliance with specifications</w:t>
            </w:r>
          </w:p>
          <w:p w:rsidR="00000000" w:rsidRPr="00C970CF" w:rsidP="00C970CF">
            <w:pPr>
              <w:pStyle w:val="BodyText"/>
            </w:pPr>
            <w:r w:rsidRPr="00C970CF">
              <w:t>3.4 Prepare, assemble and fit components in accordance with specifications</w:t>
            </w:r>
          </w:p>
          <w:p w:rsidR="00000000" w:rsidRPr="00C970CF" w:rsidP="00C970CF">
            <w:pPr>
              <w:pStyle w:val="BodyText"/>
            </w:pPr>
            <w:r w:rsidRPr="00C970CF">
              <w:t>3.5 Repair or tag work which does not meet quality specifications for further processing, recycling, or disposal in accordance wi</w:t>
            </w:r>
            <w:r w:rsidRPr="00C970CF">
              <w:t>th workplace procedures</w:t>
            </w:r>
          </w:p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t>3.6 Organise and store finished products in suitable holding area</w:t>
            </w:r>
          </w:p>
        </w:tc>
      </w:tr>
      <w:tr w:rsidTr="00B2254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70CF">
            <w:pPr>
              <w:pStyle w:val="BodyText"/>
              <w:rPr>
                <w:lang w:val="en-NZ"/>
              </w:rPr>
            </w:pPr>
            <w:r w:rsidRPr="00C970CF">
              <w:t>4. Check work area and maintain equipment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70CF" w:rsidP="00C970CF">
            <w:pPr>
              <w:pStyle w:val="BodyText"/>
            </w:pPr>
            <w:r w:rsidRPr="00C970CF">
              <w:t>4.1 Tag and report faulty and/or defective equipment in accordance with workplace procedures</w:t>
            </w:r>
          </w:p>
          <w:p w:rsidR="00000000" w:rsidRPr="00C970CF" w:rsidP="00C970CF">
            <w:pPr>
              <w:pStyle w:val="BodyText"/>
            </w:pPr>
            <w:r w:rsidRPr="00C970CF">
              <w:t>4.2 Identify and store items f</w:t>
            </w:r>
            <w:r w:rsidRPr="00C970CF">
              <w:t xml:space="preserve">or recycling in accordance with workplace procedures </w:t>
            </w:r>
          </w:p>
          <w:p w:rsidR="00000000" w:rsidRPr="00C970CF" w:rsidP="00C970CF">
            <w:pPr>
              <w:pStyle w:val="BodyText"/>
            </w:pPr>
            <w:r w:rsidRPr="00C970CF">
              <w:t>4.3 Clean work area and safely dispose of rubbish</w:t>
            </w:r>
          </w:p>
          <w:p w:rsidR="00000000" w:rsidRPr="00C970CF" w:rsidP="00C970CF">
            <w:pPr>
              <w:pStyle w:val="BodyText"/>
            </w:pPr>
            <w:r w:rsidRPr="00C970CF">
              <w:t>4.4 Check, clean and store tools and equipment in accordance with workplace procedures</w:t>
            </w:r>
          </w:p>
        </w:tc>
      </w:tr>
    </w:tbl>
    <w:p w:rsidR="00B22547" w:rsidP="00C970CF">
      <w:pPr>
        <w:pStyle w:val="BodyText"/>
      </w:pPr>
    </w:p>
    <w:p w:rsidR="00B22547" w:rsidP="00C970CF">
      <w:pPr>
        <w:pStyle w:val="BodyText"/>
      </w:pPr>
    </w:p>
    <w:p w:rsidR="00000000" w:rsidRPr="00C970CF" w:rsidP="00C970CF">
      <w:pPr>
        <w:pStyle w:val="Heading1"/>
      </w:pPr>
      <w:bookmarkStart w:id="6" w:name="O_1014482"/>
      <w:bookmarkEnd w:id="6"/>
      <w:r w:rsidRPr="00C970CF">
        <w:t>Foundation Skills</w:t>
      </w:r>
    </w:p>
    <w:p w:rsidR="00000000" w:rsidRPr="00C970CF" w:rsidP="00B22547">
      <w:pPr>
        <w:pStyle w:val="BodyText"/>
      </w:pPr>
      <w:r w:rsidRPr="00C970CF">
        <w:t>Foundation skills essential to performance are explicit in the performance criteria of this unit of competency.</w:t>
      </w:r>
    </w:p>
    <w:p w:rsidR="00000000" w:rsidRPr="00C970CF" w:rsidP="00C970CF">
      <w:pPr>
        <w:pStyle w:val="Heading1"/>
      </w:pPr>
      <w:bookmarkStart w:id="7" w:name="O_1014481"/>
      <w:bookmarkEnd w:id="7"/>
      <w:r w:rsidRPr="00C970CF">
        <w:t>Unit Mapping Information</w:t>
      </w:r>
    </w:p>
    <w:p w:rsidR="00000000" w:rsidRPr="00C970CF" w:rsidP="00B22547">
      <w:pPr>
        <w:pStyle w:val="BodyText"/>
      </w:pPr>
      <w:r w:rsidRPr="00C970CF">
        <w:t>Supersedes and is equivalent to MSFSL3006 Assemble copper foil glass components.</w:t>
      </w:r>
    </w:p>
    <w:p w:rsidR="00000000" w:rsidRPr="00C970CF" w:rsidP="00C970CF">
      <w:pPr>
        <w:pStyle w:val="Heading1"/>
      </w:pPr>
      <w:bookmarkStart w:id="8" w:name="O_1014474"/>
      <w:bookmarkEnd w:id="8"/>
      <w:r w:rsidRPr="00C970CF">
        <w:t>Links</w:t>
      </w:r>
    </w:p>
    <w:p w:rsidR="00000000" w:rsidRPr="00C970CF" w:rsidP="00B22547">
      <w:pPr>
        <w:pStyle w:val="BodyText"/>
      </w:pPr>
      <w:r w:rsidRPr="00C970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A384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970CF" w:rsidP="00C970CF"/>
    <w:sectPr w:rsidSect="00C970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CF" w:rsidRPr="00B22547" w:rsidP="00B225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547" w:rsidP="00C970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547" w:rsidP="00C970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22547" w:rsidP="00C970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5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70CF" w:rsidRPr="00B22547" w:rsidP="00B225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0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547" w:rsidRPr="002D2AF8" w:rsidP="00C970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MSFDG3004 Assemble copper foil glass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22547" w:rsidP="00C970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0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70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70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70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70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70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70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70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70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70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70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70CF"/>
  </w:style>
  <w:style w:type="character" w:customStyle="1" w:styleId="Heading1Char">
    <w:name w:val="Heading 1 Char"/>
    <w:basedOn w:val="DefaultParagraphFont"/>
    <w:link w:val="Heading1"/>
    <w:rsid w:val="00C970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70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70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970CF"/>
    <w:rPr>
      <w:b/>
      <w:spacing w:val="0"/>
    </w:rPr>
  </w:style>
  <w:style w:type="character" w:styleId="Emphasis">
    <w:name w:val="Emphasis"/>
    <w:basedOn w:val="DefaultParagraphFont"/>
    <w:qFormat/>
    <w:rsid w:val="00C970CF"/>
    <w:rPr>
      <w:i/>
    </w:rPr>
  </w:style>
  <w:style w:type="paragraph" w:customStyle="1" w:styleId="SuperHeading">
    <w:name w:val="SuperHeading"/>
    <w:basedOn w:val="Normal"/>
    <w:rsid w:val="00C970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70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70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70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70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7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70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7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70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70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70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70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70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70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70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70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70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70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70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70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70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70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70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70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70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70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70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70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70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70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70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70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70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70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70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70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70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70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70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70CF"/>
  </w:style>
  <w:style w:type="paragraph" w:styleId="TableofFigures">
    <w:name w:val="table of figures"/>
    <w:basedOn w:val="Normal"/>
    <w:next w:val="Normal"/>
    <w:semiHidden/>
    <w:rsid w:val="00C970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70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70CF"/>
    <w:rPr>
      <w:rFonts w:ascii="Wingdings" w:hAnsi="Wingdings"/>
    </w:rPr>
  </w:style>
  <w:style w:type="paragraph" w:customStyle="1" w:styleId="TableHeading">
    <w:name w:val="Table Heading"/>
    <w:basedOn w:val="HeadingBase"/>
    <w:rsid w:val="00C970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70CF"/>
    <w:rPr>
      <w:color w:val="0033CC"/>
      <w:u w:val="none"/>
    </w:rPr>
  </w:style>
  <w:style w:type="paragraph" w:customStyle="1" w:styleId="BodyTextRight">
    <w:name w:val="Body Text Right"/>
    <w:basedOn w:val="BodyText"/>
    <w:rsid w:val="00C970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70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70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70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70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70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70CF"/>
    <w:rPr>
      <w:sz w:val="32"/>
    </w:rPr>
  </w:style>
  <w:style w:type="paragraph" w:customStyle="1" w:styleId="HeadingProcedure">
    <w:name w:val="Heading Procedure"/>
    <w:basedOn w:val="HeadingBase"/>
    <w:next w:val="Normal"/>
    <w:rsid w:val="00C970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70CF"/>
    <w:pPr>
      <w:spacing w:before="60" w:after="60"/>
    </w:pPr>
  </w:style>
  <w:style w:type="paragraph" w:styleId="ListContinue">
    <w:name w:val="List Continue"/>
    <w:basedOn w:val="List"/>
    <w:rsid w:val="00C970CF"/>
    <w:pPr>
      <w:ind w:firstLine="0"/>
    </w:pPr>
  </w:style>
  <w:style w:type="paragraph" w:customStyle="1" w:styleId="ListNote">
    <w:name w:val="List Note"/>
    <w:basedOn w:val="List"/>
    <w:rsid w:val="00C970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70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70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70CF"/>
    <w:rPr>
      <w:rFonts w:ascii="Courier New" w:hAnsi="Courier New"/>
    </w:rPr>
  </w:style>
  <w:style w:type="paragraph" w:customStyle="1" w:styleId="NoteBullet">
    <w:name w:val="Note Bullet"/>
    <w:basedOn w:val="Note"/>
    <w:rsid w:val="00C970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70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70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70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70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70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70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70CF"/>
    <w:rPr>
      <w:b/>
      <w:smallCaps/>
    </w:rPr>
  </w:style>
  <w:style w:type="paragraph" w:customStyle="1" w:styleId="TableListNumber">
    <w:name w:val="Table List Number"/>
    <w:basedOn w:val="ListNumber"/>
    <w:rsid w:val="00C970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70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70CF"/>
    <w:pPr>
      <w:numPr>
        <w:numId w:val="7"/>
      </w:numPr>
    </w:pPr>
  </w:style>
  <w:style w:type="paragraph" w:customStyle="1" w:styleId="ListAlpha2">
    <w:name w:val="List Alpha 2"/>
    <w:basedOn w:val="List2"/>
    <w:rsid w:val="00C970CF"/>
    <w:pPr>
      <w:numPr>
        <w:numId w:val="6"/>
      </w:numPr>
    </w:pPr>
  </w:style>
  <w:style w:type="paragraph" w:styleId="List2">
    <w:name w:val="List 2"/>
    <w:basedOn w:val="BodyText"/>
    <w:rsid w:val="00C970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70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70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70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70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70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70CF"/>
    <w:pPr>
      <w:numPr>
        <w:numId w:val="2"/>
      </w:numPr>
    </w:pPr>
  </w:style>
  <w:style w:type="paragraph" w:styleId="ListContinue2">
    <w:name w:val="List Continue 2"/>
    <w:basedOn w:val="List2"/>
    <w:rsid w:val="00C970CF"/>
    <w:pPr>
      <w:ind w:firstLine="0"/>
    </w:pPr>
  </w:style>
  <w:style w:type="paragraph" w:styleId="ListContinue3">
    <w:name w:val="List Continue 3"/>
    <w:basedOn w:val="List3"/>
    <w:rsid w:val="00C970CF"/>
    <w:pPr>
      <w:ind w:left="1021" w:firstLine="0"/>
    </w:pPr>
  </w:style>
  <w:style w:type="paragraph" w:styleId="ListContinue4">
    <w:name w:val="List Continue 4"/>
    <w:basedOn w:val="List4"/>
    <w:rsid w:val="00C970CF"/>
    <w:pPr>
      <w:ind w:firstLine="0"/>
    </w:pPr>
  </w:style>
  <w:style w:type="paragraph" w:styleId="ListContinue5">
    <w:name w:val="List Continue 5"/>
    <w:basedOn w:val="List5"/>
    <w:rsid w:val="00C970CF"/>
    <w:pPr>
      <w:ind w:firstLine="0"/>
    </w:pPr>
  </w:style>
  <w:style w:type="paragraph" w:styleId="ListNumber3">
    <w:name w:val="List Number 3"/>
    <w:basedOn w:val="List3"/>
    <w:rsid w:val="00C970CF"/>
    <w:pPr>
      <w:numPr>
        <w:numId w:val="3"/>
      </w:numPr>
    </w:pPr>
  </w:style>
  <w:style w:type="paragraph" w:styleId="ListNumber4">
    <w:name w:val="List Number 4"/>
    <w:basedOn w:val="List4"/>
    <w:rsid w:val="00C970CF"/>
    <w:pPr>
      <w:numPr>
        <w:numId w:val="4"/>
      </w:numPr>
    </w:pPr>
  </w:style>
  <w:style w:type="paragraph" w:styleId="ListNumber5">
    <w:name w:val="List Number 5"/>
    <w:basedOn w:val="List5"/>
    <w:rsid w:val="00C970CF"/>
    <w:pPr>
      <w:numPr>
        <w:numId w:val="5"/>
      </w:numPr>
    </w:pPr>
  </w:style>
  <w:style w:type="paragraph" w:styleId="BlockText">
    <w:name w:val="Block Text"/>
    <w:basedOn w:val="Normal"/>
    <w:rsid w:val="00C970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70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70CF"/>
    <w:rPr>
      <w:sz w:val="16"/>
      <w:vertAlign w:val="superscript"/>
    </w:rPr>
  </w:style>
  <w:style w:type="character" w:customStyle="1" w:styleId="Symbols">
    <w:name w:val="Symbols"/>
    <w:basedOn w:val="DefaultParagraphFont"/>
    <w:rsid w:val="00C970CF"/>
    <w:rPr>
      <w:rFonts w:ascii="Symbol" w:hAnsi="Symbol"/>
    </w:rPr>
  </w:style>
  <w:style w:type="character" w:customStyle="1" w:styleId="MenuOptions">
    <w:name w:val="Menu Options"/>
    <w:basedOn w:val="DefaultParagraphFont"/>
    <w:rsid w:val="00C970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70CF"/>
    <w:rPr>
      <w:b/>
    </w:rPr>
  </w:style>
  <w:style w:type="character" w:customStyle="1" w:styleId="Underlined">
    <w:name w:val="Underlined"/>
    <w:basedOn w:val="DefaultParagraphFont"/>
    <w:rsid w:val="00C970CF"/>
    <w:rPr>
      <w:u w:val="single"/>
    </w:rPr>
  </w:style>
  <w:style w:type="paragraph" w:customStyle="1" w:styleId="TableBodyTextRight">
    <w:name w:val="Table Body Text Right"/>
    <w:basedOn w:val="TableBodyText"/>
    <w:rsid w:val="00C970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70CF"/>
    <w:rPr>
      <w:sz w:val="18"/>
    </w:rPr>
  </w:style>
  <w:style w:type="paragraph" w:customStyle="1" w:styleId="BodySmallRight">
    <w:name w:val="Body Small Right"/>
    <w:basedOn w:val="BodyTextRight"/>
    <w:rsid w:val="00C970CF"/>
    <w:rPr>
      <w:sz w:val="18"/>
      <w:szCs w:val="18"/>
    </w:rPr>
  </w:style>
  <w:style w:type="paragraph" w:customStyle="1" w:styleId="MarginEdition">
    <w:name w:val="Margin Edition"/>
    <w:basedOn w:val="MarginNote"/>
    <w:rsid w:val="00C970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70CF"/>
    <w:rPr>
      <w:sz w:val="2"/>
      <w:szCs w:val="2"/>
    </w:rPr>
  </w:style>
  <w:style w:type="character" w:customStyle="1" w:styleId="Small">
    <w:name w:val="Small"/>
    <w:basedOn w:val="DefaultParagraphFont"/>
    <w:rsid w:val="00C970CF"/>
    <w:rPr>
      <w:sz w:val="16"/>
    </w:rPr>
  </w:style>
  <w:style w:type="paragraph" w:customStyle="1" w:styleId="WideTable">
    <w:name w:val="Wide Table"/>
    <w:basedOn w:val="Normal"/>
    <w:rsid w:val="00C970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70CF"/>
  </w:style>
  <w:style w:type="paragraph" w:styleId="Quote">
    <w:name w:val="Quote"/>
    <w:basedOn w:val="Heading1"/>
    <w:link w:val="QuoteChar"/>
    <w:qFormat/>
    <w:rsid w:val="00C970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70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70CF"/>
    <w:pPr>
      <w:pageBreakBefore/>
    </w:pPr>
  </w:style>
  <w:style w:type="paragraph" w:customStyle="1" w:styleId="Border">
    <w:name w:val="Border"/>
    <w:basedOn w:val="Normal"/>
    <w:qFormat/>
    <w:rsid w:val="00C970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70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0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0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70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70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70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70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70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70CF"/>
    <w:rPr>
      <w:u w:val="single"/>
    </w:rPr>
  </w:style>
  <w:style w:type="character" w:customStyle="1" w:styleId="BoldandItalics">
    <w:name w:val="Bold and Italics"/>
    <w:qFormat/>
    <w:rsid w:val="00C970CF"/>
    <w:rPr>
      <w:b/>
      <w:i/>
      <w:u w:val="none"/>
    </w:rPr>
  </w:style>
  <w:style w:type="paragraph" w:styleId="BalloonText">
    <w:name w:val="Balloon Text"/>
    <w:basedOn w:val="Normal"/>
    <w:link w:val="BalloonTextChar"/>
    <w:rsid w:val="00C970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70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70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70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70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70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70CF"/>
    <w:pPr>
      <w:spacing w:before="0" w:after="0"/>
    </w:pPr>
  </w:style>
  <w:style w:type="paragraph" w:customStyle="1" w:styleId="BodyTextBold">
    <w:name w:val="Body Text Bold"/>
    <w:basedOn w:val="BodyText"/>
    <w:qFormat/>
    <w:rsid w:val="00C970CF"/>
    <w:rPr>
      <w:b/>
    </w:rPr>
  </w:style>
  <w:style w:type="character" w:styleId="Hyperlink">
    <w:name w:val="Hyperlink"/>
    <w:basedOn w:val="DefaultParagraphFont"/>
    <w:uiPriority w:val="99"/>
    <w:unhideWhenUsed/>
    <w:rsid w:val="00B22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2779</Characters>
  <Application>Microsoft Office Word</Application>
  <DocSecurity>0</DocSecurity>
  <Lines>89</Lines>
  <Paragraphs>57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MSFDG3004 Assemble copper foil glass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2022-12-21T05:12:00Z</dcterms:created>
  <dcterms:modified xsi:type="dcterms:W3CDTF">2022-12-21T05:12:00Z</dcterms:modified>
</cp:coreProperties>
</file>