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005" w:rsidP="002F4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MSFDG3002 Prepare and install architectural engineered leadlight and stained glass</w:t>
      </w:r>
      <w:r>
        <w:fldChar w:fldCharType="end"/>
      </w:r>
    </w:p>
    <w:p w:rsidR="002F4005" w:rsidP="002F4005">
      <w:pPr>
        <w:pStyle w:val="Version"/>
        <w:sectPr w:rsidSect="00BA2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D2F" w:rsidP="00BA2D2F">
      <w:pPr>
        <w:pStyle w:val="SuperHeading"/>
      </w:pPr>
      <w:r w:rsidRPr="00BA2D2F">
        <w:t>MSFDG3002 Prepare and install architectural eng</w:t>
      </w:r>
      <w:r w:rsidRPr="00BA2D2F">
        <w:t>ineered leadlight and stained glass</w:t>
      </w:r>
    </w:p>
    <w:p w:rsidR="00000000" w:rsidRPr="00BA2D2F" w:rsidP="00BA2D2F">
      <w:pPr>
        <w:pStyle w:val="Heading1"/>
      </w:pPr>
      <w:bookmarkStart w:id="1" w:name="O_1014446"/>
      <w:bookmarkEnd w:id="1"/>
      <w:r w:rsidRPr="00BA2D2F">
        <w:t>Modification History</w:t>
      </w:r>
    </w:p>
    <w:p w:rsidR="00000000" w:rsidRPr="00BA2D2F" w:rsidP="002F4005">
      <w:pPr>
        <w:pStyle w:val="BodyText"/>
      </w:pPr>
      <w:r w:rsidRPr="00BA2D2F">
        <w:t>Release 1. Supersedes and is equivalent to MSFSL3004 Prepare and install architectural engineered leadlight and stained glass.</w:t>
      </w:r>
    </w:p>
    <w:p w:rsidR="00000000" w:rsidRPr="00BA2D2F" w:rsidP="00BA2D2F">
      <w:pPr>
        <w:pStyle w:val="Heading1"/>
      </w:pPr>
      <w:bookmarkStart w:id="2" w:name="O_1014452"/>
      <w:bookmarkEnd w:id="2"/>
      <w:r w:rsidRPr="00BA2D2F">
        <w:t>Application</w:t>
      </w:r>
    </w:p>
    <w:p w:rsidR="00000000" w:rsidRPr="00BA2D2F" w:rsidP="002F4005">
      <w:pPr>
        <w:pStyle w:val="BodyText"/>
      </w:pPr>
      <w:r w:rsidRPr="00BA2D2F">
        <w:t>This unit describes the skills and knowledge required to prepare and install leadlight and stained glass in structural and other architecturally engineered applications.</w:t>
      </w:r>
    </w:p>
    <w:p w:rsidR="00000000" w:rsidRPr="00BA2D2F" w:rsidP="002F4005">
      <w:pPr>
        <w:pStyle w:val="BodyText"/>
      </w:pPr>
      <w:r w:rsidRPr="00BA2D2F">
        <w:t>This unit applies to individuals working with designed glass.</w:t>
      </w:r>
    </w:p>
    <w:p w:rsidR="002F4005" w:rsidP="002F4005">
      <w:pPr>
        <w:pStyle w:val="BodyText"/>
      </w:pPr>
      <w:r w:rsidRPr="00BA2D2F">
        <w:t>Licensing, legislative o</w:t>
      </w:r>
      <w:r w:rsidRPr="00BA2D2F">
        <w:t>r certification requirements may apply to this unit and relevant state/territory and local government agencies should be consulted to determine any necessary certification or licensing for undertaking glass and glazing work. Access to construction sites re</w:t>
      </w:r>
      <w:r w:rsidRPr="00BA2D2F">
        <w:t xml:space="preserve">quires certification of general induction training specified by the </w:t>
      </w:r>
      <w:r w:rsidRPr="00BA2D2F">
        <w:rPr>
          <w:rStyle w:val="Emphasis"/>
        </w:rPr>
        <w:t>National Code of Practice for Induction for Construction Work (ASCC 2007)</w:t>
      </w:r>
      <w:r w:rsidRPr="00BA2D2F">
        <w:t>.</w:t>
      </w:r>
    </w:p>
    <w:p w:rsidR="00000000" w:rsidRPr="00BA2D2F" w:rsidP="00BA2D2F">
      <w:pPr>
        <w:pStyle w:val="Heading1"/>
      </w:pPr>
      <w:bookmarkStart w:id="3" w:name="O_1014451"/>
      <w:bookmarkEnd w:id="3"/>
      <w:r w:rsidRPr="00BA2D2F">
        <w:t>Pre-requisite Unit</w:t>
      </w:r>
    </w:p>
    <w:p w:rsidR="002F4005" w:rsidP="002F4005">
      <w:pPr>
        <w:pStyle w:val="BodyText"/>
      </w:pPr>
      <w:r w:rsidRPr="00BA2D2F">
        <w:t>N/A</w:t>
      </w:r>
    </w:p>
    <w:p w:rsidR="00000000" w:rsidRPr="00BA2D2F" w:rsidP="00BA2D2F">
      <w:pPr>
        <w:pStyle w:val="Heading1"/>
      </w:pPr>
      <w:bookmarkStart w:id="4" w:name="O_1014450"/>
      <w:bookmarkEnd w:id="4"/>
      <w:r w:rsidRPr="00BA2D2F">
        <w:t>Unit Sector</w:t>
      </w:r>
    </w:p>
    <w:p w:rsidR="00000000" w:rsidRPr="00BA2D2F" w:rsidP="002F4005">
      <w:pPr>
        <w:pStyle w:val="BodyText"/>
      </w:pPr>
      <w:r w:rsidRPr="00BA2D2F">
        <w:t>Leadlight and Stained Glass</w:t>
      </w:r>
    </w:p>
    <w:p w:rsidR="00000000" w:rsidRPr="00BA2D2F" w:rsidP="00BA2D2F">
      <w:pPr>
        <w:pStyle w:val="Heading1"/>
      </w:pPr>
      <w:bookmarkStart w:id="5" w:name="O_1014449"/>
      <w:bookmarkEnd w:id="5"/>
      <w:r w:rsidRPr="00BA2D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F4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2F" w:rsidP="00BA2D2F">
            <w:pPr>
              <w:pStyle w:val="BodyText"/>
            </w:pPr>
            <w:r w:rsidRPr="00BA2D2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rPr>
                <w:rStyle w:val="SpecialBold"/>
              </w:rPr>
              <w:t>Performance Criteria</w:t>
            </w:r>
          </w:p>
        </w:tc>
      </w:tr>
      <w:tr w:rsidTr="002F4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2F" w:rsidP="00BA2D2F">
            <w:pPr>
              <w:pStyle w:val="BodyText"/>
            </w:pPr>
            <w:r w:rsidRPr="00BA2D2F">
              <w:rPr>
                <w:rStyle w:val="Emphasis"/>
              </w:rPr>
              <w:t xml:space="preserve">Elements describe the </w:t>
            </w:r>
            <w:r w:rsidRPr="00BA2D2F">
              <w:t xml:space="preserve">essential </w:t>
            </w:r>
            <w:r w:rsidRPr="00BA2D2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4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2F" w:rsidP="00BA2D2F">
            <w:pPr>
              <w:pStyle w:val="BodyText"/>
            </w:pPr>
            <w:r w:rsidRPr="00BA2D2F">
              <w:t>1.1 Identify and follow work health and safety, legislative and organisational requirements</w:t>
            </w:r>
          </w:p>
          <w:p w:rsidR="00000000" w:rsidRPr="00BA2D2F" w:rsidP="00BA2D2F">
            <w:pPr>
              <w:pStyle w:val="BodyText"/>
            </w:pPr>
            <w:r w:rsidRPr="00BA2D2F">
              <w:t xml:space="preserve">1.2 Identify, confirm and clarify work requirements with appropriate personnel </w:t>
            </w:r>
          </w:p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1.3 Identify the process for preparing and installing architecturally engineered lea</w:t>
            </w:r>
            <w:r w:rsidRPr="00BA2D2F">
              <w:t>dlight and stained glass</w:t>
            </w:r>
          </w:p>
        </w:tc>
      </w:tr>
      <w:tr w:rsidTr="002F4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2. Prepare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2F" w:rsidP="00BA2D2F">
            <w:pPr>
              <w:pStyle w:val="BodyText"/>
            </w:pPr>
            <w:r w:rsidRPr="00BA2D2F">
              <w:t>2.1 Determine work sequence in a logical order to suit the job</w:t>
            </w:r>
          </w:p>
          <w:p w:rsidR="00000000" w:rsidRPr="00BA2D2F" w:rsidP="00BA2D2F">
            <w:pPr>
              <w:pStyle w:val="BodyText"/>
            </w:pPr>
            <w:r w:rsidRPr="00BA2D2F">
              <w:t>2.2 Select and check tools, equipment and materials for suitability, serviceability and safety prior to use</w:t>
            </w:r>
          </w:p>
          <w:p w:rsidR="00000000" w:rsidRPr="00BA2D2F" w:rsidP="00BA2D2F">
            <w:pPr>
              <w:pStyle w:val="BodyText"/>
            </w:pPr>
            <w:r w:rsidRPr="00BA2D2F">
              <w:t>2.3 Check components of the leadlight and stained glass against specifications or job order</w:t>
            </w:r>
          </w:p>
          <w:p w:rsidR="00000000" w:rsidRPr="00BA2D2F" w:rsidP="00BA2D2F">
            <w:pPr>
              <w:pStyle w:val="BodyText"/>
            </w:pPr>
            <w:r w:rsidRPr="00BA2D2F">
              <w:t>2.4 Select leadlight and stained glass fixing method</w:t>
            </w:r>
          </w:p>
          <w:p w:rsidR="00000000" w:rsidRPr="00BA2D2F" w:rsidP="00BA2D2F">
            <w:pPr>
              <w:pStyle w:val="BodyText"/>
            </w:pPr>
            <w:r w:rsidRPr="00BA2D2F">
              <w:t>2.5 Prepare frame or opening to receive leadlight and stained glass using appropriate techniques</w:t>
            </w:r>
          </w:p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2.6 Accurately</w:t>
            </w:r>
            <w:r w:rsidRPr="00BA2D2F">
              <w:t xml:space="preserve"> measure and prepare fixing and sealing materials following manufacturer recommendations</w:t>
            </w:r>
          </w:p>
        </w:tc>
      </w:tr>
      <w:tr w:rsidTr="002F4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2F" w:rsidP="00BA2D2F">
            <w:pPr>
              <w:pStyle w:val="BodyText"/>
            </w:pPr>
            <w:r w:rsidRPr="00BA2D2F">
              <w:t>3.1 Recognise site safety hazards and take corrective action to reduce risk of injury to self and others</w:t>
            </w:r>
          </w:p>
          <w:p w:rsidR="00000000" w:rsidRPr="00BA2D2F" w:rsidP="00BA2D2F">
            <w:pPr>
              <w:pStyle w:val="BodyText"/>
            </w:pPr>
            <w:r w:rsidRPr="00BA2D2F">
              <w:t xml:space="preserve">3.2 Identify and </w:t>
            </w:r>
            <w:r w:rsidRPr="00BA2D2F">
              <w:t>address on-site difficulties in accordance with regulations and enterprise agreements</w:t>
            </w:r>
          </w:p>
          <w:p w:rsidR="00000000" w:rsidRPr="00BA2D2F" w:rsidP="00BA2D2F">
            <w:pPr>
              <w:pStyle w:val="BodyText"/>
            </w:pPr>
            <w:r w:rsidRPr="00BA2D2F">
              <w:t>3.3 Identify special characteristics of the leadlight and stained glass aperture in relation to the effect of the fitting process on the finished job</w:t>
            </w:r>
          </w:p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3.4 Apply covering m</w:t>
            </w:r>
            <w:r w:rsidRPr="00BA2D2F">
              <w:t>aterial  to protect existing fixtures and fittings in accordance with workplace procedures</w:t>
            </w:r>
          </w:p>
        </w:tc>
      </w:tr>
      <w:tr w:rsidTr="002F4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4. Fit leadlight and stained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2F" w:rsidP="00BA2D2F">
            <w:pPr>
              <w:pStyle w:val="BodyText"/>
            </w:pPr>
            <w:r w:rsidRPr="00BA2D2F">
              <w:t xml:space="preserve">4.1 Fix leadlight and stained glass to the frame or opening using the selected method </w:t>
            </w:r>
          </w:p>
          <w:p w:rsidR="00000000" w:rsidRPr="00BA2D2F" w:rsidP="00BA2D2F">
            <w:pPr>
              <w:pStyle w:val="BodyText"/>
            </w:pPr>
            <w:r w:rsidRPr="00BA2D2F">
              <w:t>4.2 Apply solvents and sealants in accorda</w:t>
            </w:r>
            <w:r w:rsidRPr="00BA2D2F">
              <w:t>nce with manufacturer instructions</w:t>
            </w:r>
          </w:p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4.3 Clean leadlight and stained glass and/or frame after fixing using appropriate cleaning agents</w:t>
            </w:r>
          </w:p>
        </w:tc>
      </w:tr>
      <w:tr w:rsidTr="002F4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2F">
            <w:pPr>
              <w:pStyle w:val="BodyText"/>
              <w:rPr>
                <w:lang w:val="en-NZ"/>
              </w:rPr>
            </w:pPr>
            <w:r w:rsidRPr="00BA2D2F">
              <w:t>5. Finalise the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2F" w:rsidP="00BA2D2F">
            <w:pPr>
              <w:pStyle w:val="BodyText"/>
            </w:pPr>
            <w:r w:rsidRPr="00BA2D2F">
              <w:t xml:space="preserve">5.1 Check completed installation to ensure compliance </w:t>
            </w:r>
          </w:p>
          <w:p w:rsidR="00000000" w:rsidRPr="00BA2D2F" w:rsidP="00BA2D2F">
            <w:pPr>
              <w:pStyle w:val="BodyText"/>
            </w:pPr>
            <w:r w:rsidRPr="00BA2D2F">
              <w:t>5.2 Check completed installation for c</w:t>
            </w:r>
            <w:r w:rsidRPr="00BA2D2F">
              <w:t>ompliance with customer requirements and specifications</w:t>
            </w:r>
          </w:p>
          <w:p w:rsidR="00000000" w:rsidRPr="00BA2D2F" w:rsidP="00BA2D2F">
            <w:pPr>
              <w:pStyle w:val="BodyText"/>
            </w:pPr>
            <w:r w:rsidRPr="00BA2D2F">
              <w:t>5.3 Clean and store tools, equipment and materials in accordance with workplace procedures</w:t>
            </w:r>
          </w:p>
          <w:p w:rsidR="00000000" w:rsidRPr="00BA2D2F" w:rsidP="00BA2D2F">
            <w:pPr>
              <w:pStyle w:val="BodyText"/>
            </w:pPr>
            <w:r w:rsidRPr="00BA2D2F">
              <w:t>5.4 Clean work area and leave in a safe condition and dispose of or recycle waste in accordance with workplac</w:t>
            </w:r>
            <w:r w:rsidRPr="00BA2D2F">
              <w:t>e protocols</w:t>
            </w:r>
          </w:p>
          <w:p w:rsidR="00000000" w:rsidRPr="00BA2D2F" w:rsidP="00BA2D2F">
            <w:pPr>
              <w:pStyle w:val="BodyText"/>
            </w:pPr>
            <w:r w:rsidRPr="00BA2D2F">
              <w:t>5.5 Accurately complete required workplace documentation</w:t>
            </w:r>
          </w:p>
        </w:tc>
      </w:tr>
    </w:tbl>
    <w:p w:rsidR="002F4005" w:rsidP="00BA2D2F">
      <w:pPr>
        <w:pStyle w:val="BodyText"/>
      </w:pPr>
    </w:p>
    <w:p w:rsidR="002F4005" w:rsidP="00BA2D2F">
      <w:pPr>
        <w:pStyle w:val="BodyText"/>
      </w:pPr>
    </w:p>
    <w:p w:rsidR="00000000" w:rsidRPr="00BA2D2F" w:rsidP="00BA2D2F">
      <w:pPr>
        <w:pStyle w:val="Heading1"/>
      </w:pPr>
      <w:bookmarkStart w:id="6" w:name="O_1014448"/>
      <w:bookmarkEnd w:id="6"/>
      <w:r w:rsidRPr="00BA2D2F">
        <w:t>Foundation Skills</w:t>
      </w:r>
    </w:p>
    <w:p w:rsidR="00000000" w:rsidRPr="00BA2D2F" w:rsidP="002F4005">
      <w:pPr>
        <w:pStyle w:val="BodyText"/>
      </w:pPr>
      <w:r w:rsidRPr="00BA2D2F">
        <w:t>Foundation skills essential to performance are explicit in the performance criteria of this unit of competency.</w:t>
      </w:r>
    </w:p>
    <w:p w:rsidR="00000000" w:rsidRPr="00BA2D2F" w:rsidP="00BA2D2F">
      <w:pPr>
        <w:pStyle w:val="Heading1"/>
      </w:pPr>
      <w:bookmarkStart w:id="7" w:name="O_1014447"/>
      <w:bookmarkEnd w:id="7"/>
      <w:r w:rsidRPr="00BA2D2F">
        <w:t>Unit Mapping Information</w:t>
      </w:r>
    </w:p>
    <w:p w:rsidR="00000000" w:rsidRPr="00BA2D2F" w:rsidP="002F4005">
      <w:pPr>
        <w:pStyle w:val="BodyText"/>
      </w:pPr>
      <w:r w:rsidRPr="00BA2D2F">
        <w:t>Supersedes and is equivalent to MSFSL3004 Prepare and install architectural engineered leadlight and stained glass.</w:t>
      </w:r>
    </w:p>
    <w:p w:rsidR="00000000" w:rsidRPr="00BA2D2F" w:rsidP="00BA2D2F">
      <w:pPr>
        <w:pStyle w:val="Heading1"/>
      </w:pPr>
      <w:bookmarkStart w:id="8" w:name="O_1014440"/>
      <w:bookmarkEnd w:id="8"/>
      <w:r w:rsidRPr="00BA2D2F">
        <w:t>Links</w:t>
      </w:r>
    </w:p>
    <w:p w:rsidR="00000000" w:rsidRPr="00BA2D2F" w:rsidP="002F4005">
      <w:pPr>
        <w:pStyle w:val="BodyText"/>
      </w:pPr>
      <w:r w:rsidRPr="00BA2D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A47F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A2D2F" w:rsidP="00BA2D2F"/>
    <w:sectPr w:rsidSect="00BA2D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2F" w:rsidRPr="002F4005" w:rsidP="002F4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05" w:rsidP="00BA2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005" w:rsidP="00BA2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4005" w:rsidP="00BA2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D2F" w:rsidRPr="002F4005" w:rsidP="002F4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005" w:rsidRPr="002D2AF8" w:rsidP="00BA2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MSFDG3002 Prepare and install architectural engineered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F4005" w:rsidP="00BA2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D2F"/>
  </w:style>
  <w:style w:type="character" w:customStyle="1" w:styleId="Heading1Char">
    <w:name w:val="Heading 1 Char"/>
    <w:basedOn w:val="DefaultParagraphFont"/>
    <w:link w:val="Heading1"/>
    <w:rsid w:val="00BA2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D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2D2F"/>
    <w:rPr>
      <w:b/>
      <w:spacing w:val="0"/>
    </w:rPr>
  </w:style>
  <w:style w:type="character" w:styleId="Emphasis">
    <w:name w:val="Emphasis"/>
    <w:basedOn w:val="DefaultParagraphFont"/>
    <w:qFormat/>
    <w:rsid w:val="00BA2D2F"/>
    <w:rPr>
      <w:i/>
    </w:rPr>
  </w:style>
  <w:style w:type="paragraph" w:customStyle="1" w:styleId="SuperHeading">
    <w:name w:val="SuperHeading"/>
    <w:basedOn w:val="Normal"/>
    <w:rsid w:val="00BA2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D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D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2D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2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D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D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D2F"/>
  </w:style>
  <w:style w:type="paragraph" w:styleId="TableofFigures">
    <w:name w:val="table of figures"/>
    <w:basedOn w:val="Normal"/>
    <w:next w:val="Normal"/>
    <w:semiHidden/>
    <w:rsid w:val="00BA2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D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2D2F"/>
    <w:rPr>
      <w:rFonts w:ascii="Wingdings" w:hAnsi="Wingdings"/>
    </w:rPr>
  </w:style>
  <w:style w:type="paragraph" w:customStyle="1" w:styleId="TableHeading">
    <w:name w:val="Table Heading"/>
    <w:basedOn w:val="HeadingBase"/>
    <w:rsid w:val="00BA2D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D2F"/>
    <w:rPr>
      <w:color w:val="0033CC"/>
      <w:u w:val="none"/>
    </w:rPr>
  </w:style>
  <w:style w:type="paragraph" w:customStyle="1" w:styleId="BodyTextRight">
    <w:name w:val="Body Text Right"/>
    <w:basedOn w:val="BodyText"/>
    <w:rsid w:val="00BA2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D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D2F"/>
    <w:rPr>
      <w:sz w:val="32"/>
    </w:rPr>
  </w:style>
  <w:style w:type="paragraph" w:customStyle="1" w:styleId="HeadingProcedure">
    <w:name w:val="Heading Procedure"/>
    <w:basedOn w:val="HeadingBase"/>
    <w:next w:val="Normal"/>
    <w:rsid w:val="00BA2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D2F"/>
    <w:pPr>
      <w:spacing w:before="60" w:after="60"/>
    </w:pPr>
  </w:style>
  <w:style w:type="paragraph" w:styleId="ListContinue">
    <w:name w:val="List Continue"/>
    <w:basedOn w:val="List"/>
    <w:rsid w:val="00BA2D2F"/>
    <w:pPr>
      <w:ind w:firstLine="0"/>
    </w:pPr>
  </w:style>
  <w:style w:type="paragraph" w:customStyle="1" w:styleId="ListNote">
    <w:name w:val="List Note"/>
    <w:basedOn w:val="List"/>
    <w:rsid w:val="00BA2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D2F"/>
    <w:rPr>
      <w:rFonts w:ascii="Courier New" w:hAnsi="Courier New"/>
    </w:rPr>
  </w:style>
  <w:style w:type="paragraph" w:customStyle="1" w:styleId="NoteBullet">
    <w:name w:val="Note Bullet"/>
    <w:basedOn w:val="Note"/>
    <w:rsid w:val="00BA2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D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2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D2F"/>
    <w:rPr>
      <w:b/>
      <w:smallCaps/>
    </w:rPr>
  </w:style>
  <w:style w:type="paragraph" w:customStyle="1" w:styleId="TableListNumber">
    <w:name w:val="Table List Number"/>
    <w:basedOn w:val="ListNumber"/>
    <w:rsid w:val="00BA2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D2F"/>
    <w:pPr>
      <w:numPr>
        <w:numId w:val="7"/>
      </w:numPr>
    </w:pPr>
  </w:style>
  <w:style w:type="paragraph" w:customStyle="1" w:styleId="ListAlpha2">
    <w:name w:val="List Alpha 2"/>
    <w:basedOn w:val="List2"/>
    <w:rsid w:val="00BA2D2F"/>
    <w:pPr>
      <w:numPr>
        <w:numId w:val="6"/>
      </w:numPr>
    </w:pPr>
  </w:style>
  <w:style w:type="paragraph" w:styleId="List2">
    <w:name w:val="List 2"/>
    <w:basedOn w:val="BodyText"/>
    <w:rsid w:val="00BA2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D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D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D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2D2F"/>
    <w:pPr>
      <w:numPr>
        <w:numId w:val="2"/>
      </w:numPr>
    </w:pPr>
  </w:style>
  <w:style w:type="paragraph" w:styleId="ListContinue2">
    <w:name w:val="List Continue 2"/>
    <w:basedOn w:val="List2"/>
    <w:rsid w:val="00BA2D2F"/>
    <w:pPr>
      <w:ind w:firstLine="0"/>
    </w:pPr>
  </w:style>
  <w:style w:type="paragraph" w:styleId="ListContinue3">
    <w:name w:val="List Continue 3"/>
    <w:basedOn w:val="List3"/>
    <w:rsid w:val="00BA2D2F"/>
    <w:pPr>
      <w:ind w:left="1021" w:firstLine="0"/>
    </w:pPr>
  </w:style>
  <w:style w:type="paragraph" w:styleId="ListContinue4">
    <w:name w:val="List Continue 4"/>
    <w:basedOn w:val="List4"/>
    <w:rsid w:val="00BA2D2F"/>
    <w:pPr>
      <w:ind w:firstLine="0"/>
    </w:pPr>
  </w:style>
  <w:style w:type="paragraph" w:styleId="ListContinue5">
    <w:name w:val="List Continue 5"/>
    <w:basedOn w:val="List5"/>
    <w:rsid w:val="00BA2D2F"/>
    <w:pPr>
      <w:ind w:firstLine="0"/>
    </w:pPr>
  </w:style>
  <w:style w:type="paragraph" w:styleId="ListNumber3">
    <w:name w:val="List Number 3"/>
    <w:basedOn w:val="List3"/>
    <w:rsid w:val="00BA2D2F"/>
    <w:pPr>
      <w:numPr>
        <w:numId w:val="3"/>
      </w:numPr>
    </w:pPr>
  </w:style>
  <w:style w:type="paragraph" w:styleId="ListNumber4">
    <w:name w:val="List Number 4"/>
    <w:basedOn w:val="List4"/>
    <w:rsid w:val="00BA2D2F"/>
    <w:pPr>
      <w:numPr>
        <w:numId w:val="4"/>
      </w:numPr>
    </w:pPr>
  </w:style>
  <w:style w:type="paragraph" w:styleId="ListNumber5">
    <w:name w:val="List Number 5"/>
    <w:basedOn w:val="List5"/>
    <w:rsid w:val="00BA2D2F"/>
    <w:pPr>
      <w:numPr>
        <w:numId w:val="5"/>
      </w:numPr>
    </w:pPr>
  </w:style>
  <w:style w:type="paragraph" w:styleId="BlockText">
    <w:name w:val="Block Text"/>
    <w:basedOn w:val="Normal"/>
    <w:rsid w:val="00BA2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D2F"/>
    <w:rPr>
      <w:sz w:val="16"/>
      <w:vertAlign w:val="superscript"/>
    </w:rPr>
  </w:style>
  <w:style w:type="character" w:customStyle="1" w:styleId="Symbols">
    <w:name w:val="Symbols"/>
    <w:basedOn w:val="DefaultParagraphFont"/>
    <w:rsid w:val="00BA2D2F"/>
    <w:rPr>
      <w:rFonts w:ascii="Symbol" w:hAnsi="Symbol"/>
    </w:rPr>
  </w:style>
  <w:style w:type="character" w:customStyle="1" w:styleId="MenuOptions">
    <w:name w:val="Menu Options"/>
    <w:basedOn w:val="DefaultParagraphFont"/>
    <w:rsid w:val="00BA2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D2F"/>
    <w:rPr>
      <w:b/>
    </w:rPr>
  </w:style>
  <w:style w:type="character" w:customStyle="1" w:styleId="Underlined">
    <w:name w:val="Underlined"/>
    <w:basedOn w:val="DefaultParagraphFont"/>
    <w:rsid w:val="00BA2D2F"/>
    <w:rPr>
      <w:u w:val="single"/>
    </w:rPr>
  </w:style>
  <w:style w:type="paragraph" w:customStyle="1" w:styleId="TableBodyTextRight">
    <w:name w:val="Table Body Text Right"/>
    <w:basedOn w:val="TableBodyText"/>
    <w:rsid w:val="00BA2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D2F"/>
    <w:rPr>
      <w:sz w:val="18"/>
    </w:rPr>
  </w:style>
  <w:style w:type="paragraph" w:customStyle="1" w:styleId="BodySmallRight">
    <w:name w:val="Body Small Right"/>
    <w:basedOn w:val="BodyTextRight"/>
    <w:rsid w:val="00BA2D2F"/>
    <w:rPr>
      <w:sz w:val="18"/>
      <w:szCs w:val="18"/>
    </w:rPr>
  </w:style>
  <w:style w:type="paragraph" w:customStyle="1" w:styleId="MarginEdition">
    <w:name w:val="Margin Edition"/>
    <w:basedOn w:val="MarginNote"/>
    <w:rsid w:val="00BA2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D2F"/>
    <w:rPr>
      <w:sz w:val="2"/>
      <w:szCs w:val="2"/>
    </w:rPr>
  </w:style>
  <w:style w:type="character" w:customStyle="1" w:styleId="Small">
    <w:name w:val="Small"/>
    <w:basedOn w:val="DefaultParagraphFont"/>
    <w:rsid w:val="00BA2D2F"/>
    <w:rPr>
      <w:sz w:val="16"/>
    </w:rPr>
  </w:style>
  <w:style w:type="paragraph" w:customStyle="1" w:styleId="WideTable">
    <w:name w:val="Wide Table"/>
    <w:basedOn w:val="Normal"/>
    <w:rsid w:val="00BA2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D2F"/>
  </w:style>
  <w:style w:type="paragraph" w:styleId="Quote">
    <w:name w:val="Quote"/>
    <w:basedOn w:val="Heading1"/>
    <w:link w:val="QuoteChar"/>
    <w:qFormat/>
    <w:rsid w:val="00BA2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D2F"/>
    <w:pPr>
      <w:pageBreakBefore/>
    </w:pPr>
  </w:style>
  <w:style w:type="paragraph" w:customStyle="1" w:styleId="Border">
    <w:name w:val="Border"/>
    <w:basedOn w:val="Normal"/>
    <w:qFormat/>
    <w:rsid w:val="00BA2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D2F"/>
    <w:rPr>
      <w:u w:val="single"/>
    </w:rPr>
  </w:style>
  <w:style w:type="character" w:customStyle="1" w:styleId="BoldandItalics">
    <w:name w:val="Bold and Italics"/>
    <w:qFormat/>
    <w:rsid w:val="00BA2D2F"/>
    <w:rPr>
      <w:b/>
      <w:i/>
      <w:u w:val="none"/>
    </w:rPr>
  </w:style>
  <w:style w:type="paragraph" w:styleId="BalloonText">
    <w:name w:val="Balloon Text"/>
    <w:basedOn w:val="Normal"/>
    <w:link w:val="BalloonTextChar"/>
    <w:rsid w:val="00BA2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D2F"/>
    <w:pPr>
      <w:spacing w:before="0" w:after="0"/>
    </w:pPr>
  </w:style>
  <w:style w:type="paragraph" w:customStyle="1" w:styleId="BodyTextBold">
    <w:name w:val="Body Text Bold"/>
    <w:basedOn w:val="BodyText"/>
    <w:qFormat/>
    <w:rsid w:val="00BA2D2F"/>
    <w:rPr>
      <w:b/>
    </w:rPr>
  </w:style>
  <w:style w:type="character" w:styleId="Hyperlink">
    <w:name w:val="Hyperlink"/>
    <w:basedOn w:val="DefaultParagraphFont"/>
    <w:uiPriority w:val="99"/>
    <w:unhideWhenUsed/>
    <w:rsid w:val="002F4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3433</Characters>
  <Application>Microsoft Office Word</Application>
  <DocSecurity>0</DocSecurity>
  <Lines>104</Lines>
  <Paragraphs>60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MSFDG3002 Prepare and install architectural engineered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