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9C1" w:rsidP="00976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MSFDG3002 Prepare and install architectural engineered leadlight and stained glass</w:t>
      </w:r>
      <w:r>
        <w:fldChar w:fldCharType="end"/>
      </w:r>
    </w:p>
    <w:p w:rsidR="009769C1" w:rsidP="009769C1">
      <w:pPr>
        <w:pStyle w:val="Version"/>
        <w:sectPr w:rsidSect="003A4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460" w:rsidP="003A4460">
      <w:pPr>
        <w:pStyle w:val="SuperHeading"/>
      </w:pPr>
      <w:r w:rsidRPr="003A4460">
        <w:t>MSFDG3002 Prepare and install architectural engineered leadlight and stained glass</w:t>
      </w:r>
    </w:p>
    <w:p w:rsidR="00000000" w:rsidRPr="003A4460" w:rsidP="003A4460">
      <w:pPr>
        <w:pStyle w:val="Heading1"/>
      </w:pPr>
      <w:bookmarkStart w:id="1" w:name="O_1014446"/>
      <w:bookmarkEnd w:id="1"/>
      <w:r w:rsidRPr="003A4460">
        <w:t>Modification History</w:t>
      </w:r>
    </w:p>
    <w:p w:rsidR="00000000" w:rsidRPr="003A4460" w:rsidP="009769C1">
      <w:pPr>
        <w:pStyle w:val="BodyText"/>
      </w:pPr>
      <w:r w:rsidRPr="003A4460">
        <w:t>Release 1. Supersedes and is equivalent to MSFSL3004 Prepare and install architectural engineered leadlight and stained glass.</w:t>
      </w:r>
    </w:p>
    <w:p w:rsidR="00000000" w:rsidRPr="003A4460" w:rsidP="003A4460">
      <w:pPr>
        <w:pStyle w:val="Heading1"/>
      </w:pPr>
      <w:bookmarkStart w:id="2" w:name="O_1014452"/>
      <w:bookmarkEnd w:id="2"/>
      <w:r w:rsidRPr="003A4460">
        <w:t>Application</w:t>
      </w:r>
    </w:p>
    <w:p w:rsidR="00000000" w:rsidRPr="003A4460" w:rsidP="009769C1">
      <w:pPr>
        <w:pStyle w:val="BodyText"/>
      </w:pPr>
      <w:r w:rsidRPr="003A4460">
        <w:t>This unit describes the skills and knowledge required to prepare and install leadlight and stained glass in structural and other architecturally engineered applications.</w:t>
      </w:r>
    </w:p>
    <w:p w:rsidR="00000000" w:rsidRPr="003A4460" w:rsidP="009769C1">
      <w:pPr>
        <w:pStyle w:val="BodyText"/>
      </w:pPr>
      <w:r w:rsidRPr="003A4460">
        <w:t>This unit applies to individuals working with designed g</w:t>
      </w:r>
      <w:r w:rsidRPr="003A4460">
        <w:t>lass.</w:t>
      </w:r>
    </w:p>
    <w:p w:rsidR="009769C1" w:rsidP="009769C1">
      <w:pPr>
        <w:pStyle w:val="BodyText"/>
      </w:pPr>
      <w:r w:rsidRPr="003A4460">
        <w:t>Licensing, legislative or certification requirements may apply to this unit and relevant state/territory and local government agencies should be consulted to determine any necessary certification or licensing for undertaking glass and glazing work. A</w:t>
      </w:r>
      <w:r w:rsidRPr="003A4460">
        <w:t xml:space="preserve">ccess to construction sites requires certification of general induction training specified by the </w:t>
      </w:r>
      <w:r w:rsidRPr="003A4460">
        <w:rPr>
          <w:rStyle w:val="Emphasis"/>
        </w:rPr>
        <w:t>National Code of Practice for Induction for Construction Work (ASCC 2007)</w:t>
      </w:r>
      <w:r w:rsidRPr="003A4460">
        <w:t>.</w:t>
      </w:r>
    </w:p>
    <w:p w:rsidR="00000000" w:rsidRPr="003A4460" w:rsidP="003A4460">
      <w:pPr>
        <w:pStyle w:val="Heading1"/>
      </w:pPr>
      <w:bookmarkStart w:id="3" w:name="O_1014451"/>
      <w:bookmarkEnd w:id="3"/>
      <w:r w:rsidRPr="003A4460">
        <w:t>Pre-requisite Unit</w:t>
      </w:r>
    </w:p>
    <w:p w:rsidR="009769C1" w:rsidP="009769C1">
      <w:pPr>
        <w:pStyle w:val="BodyText"/>
      </w:pPr>
      <w:r w:rsidRPr="003A4460">
        <w:t>N/A</w:t>
      </w:r>
    </w:p>
    <w:p w:rsidR="00000000" w:rsidRPr="003A4460" w:rsidP="003A4460">
      <w:pPr>
        <w:pStyle w:val="Heading1"/>
      </w:pPr>
      <w:bookmarkStart w:id="4" w:name="O_1014450"/>
      <w:bookmarkEnd w:id="4"/>
      <w:r w:rsidRPr="003A4460">
        <w:t>Unit Sector</w:t>
      </w:r>
    </w:p>
    <w:p w:rsidR="00000000" w:rsidRPr="003A4460" w:rsidP="009769C1">
      <w:pPr>
        <w:pStyle w:val="BodyText"/>
      </w:pPr>
      <w:r w:rsidRPr="003A4460">
        <w:t>Leadligh</w:t>
      </w:r>
      <w:r w:rsidRPr="003A4460">
        <w:t>t and Stained Glass</w:t>
      </w:r>
    </w:p>
    <w:p w:rsidR="00000000" w:rsidRPr="003A4460" w:rsidP="003A4460">
      <w:pPr>
        <w:pStyle w:val="Heading1"/>
      </w:pPr>
      <w:bookmarkStart w:id="5" w:name="O_1014449"/>
      <w:bookmarkEnd w:id="5"/>
      <w:r w:rsidRPr="003A44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rPr>
                <w:rStyle w:val="SpecialBold"/>
              </w:rPr>
              <w:t>Performance Criteria</w:t>
            </w:r>
          </w:p>
        </w:tc>
      </w:tr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rPr>
                <w:rStyle w:val="Emphasis"/>
              </w:rPr>
              <w:t xml:space="preserve">Elements describe the </w:t>
            </w:r>
            <w:r w:rsidRPr="003A4460">
              <w:t xml:space="preserve">essential </w:t>
            </w:r>
            <w:r w:rsidRPr="003A446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t>1.1 Identify and follow work health and safety, legislative and organisational requirements</w:t>
            </w:r>
          </w:p>
          <w:p w:rsidR="00000000" w:rsidRPr="003A4460" w:rsidP="003A4460">
            <w:pPr>
              <w:pStyle w:val="BodyText"/>
            </w:pPr>
            <w:r w:rsidRPr="003A4460">
              <w:t xml:space="preserve">1.2 Identify, confirm and clarify work requirements with appropriate personnel </w:t>
            </w:r>
          </w:p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 xml:space="preserve">1.3 Identify the process for preparing and installing </w:t>
            </w:r>
            <w:r w:rsidRPr="003A4460">
              <w:t>architecturally engineered leadlight and stained glass</w:t>
            </w:r>
          </w:p>
        </w:tc>
      </w:tr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2. Prepare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t>2.1 Determine work sequence in a logical order to suit the job</w:t>
            </w:r>
          </w:p>
          <w:p w:rsidR="00000000" w:rsidRPr="003A4460" w:rsidP="003A4460">
            <w:pPr>
              <w:pStyle w:val="BodyText"/>
            </w:pPr>
            <w:r w:rsidRPr="003A4460">
              <w:t>2.2 Select and check tools, equipment and materials for suitability, serviceability and safety prior to use</w:t>
            </w:r>
          </w:p>
          <w:p w:rsidR="00000000" w:rsidRPr="003A4460" w:rsidP="003A4460">
            <w:pPr>
              <w:pStyle w:val="BodyText"/>
            </w:pPr>
            <w:r w:rsidRPr="003A4460">
              <w:t>2.3 Check components of the leadlight and stained glass against specifications or job order</w:t>
            </w:r>
          </w:p>
          <w:p w:rsidR="00000000" w:rsidRPr="003A4460" w:rsidP="003A4460">
            <w:pPr>
              <w:pStyle w:val="BodyText"/>
            </w:pPr>
            <w:r w:rsidRPr="003A4460">
              <w:t>2.4 Select leadlight and stained glass fixing method</w:t>
            </w:r>
          </w:p>
          <w:p w:rsidR="00000000" w:rsidRPr="003A4460" w:rsidP="003A4460">
            <w:pPr>
              <w:pStyle w:val="BodyText"/>
            </w:pPr>
            <w:r w:rsidRPr="003A4460">
              <w:t>2.5 Prepare frame or opening to receive leadlight and stained glass using appropriate techniques</w:t>
            </w:r>
          </w:p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2.6 Accurately</w:t>
            </w:r>
            <w:r w:rsidRPr="003A4460">
              <w:t xml:space="preserve"> measure and prepare fixing and sealing materials following manufacturer recommendations</w:t>
            </w:r>
          </w:p>
        </w:tc>
      </w:tr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t>3.1 Recognise site safety hazards and take corrective action to reduce risk of injury to self and others</w:t>
            </w:r>
          </w:p>
          <w:p w:rsidR="00000000" w:rsidRPr="003A4460" w:rsidP="003A4460">
            <w:pPr>
              <w:pStyle w:val="BodyText"/>
            </w:pPr>
            <w:r w:rsidRPr="003A4460">
              <w:t xml:space="preserve">3.2 Identify and </w:t>
            </w:r>
            <w:r w:rsidRPr="003A4460">
              <w:t>address on-site difficulties in accordance with regulations and enterprise agreements</w:t>
            </w:r>
          </w:p>
          <w:p w:rsidR="00000000" w:rsidRPr="003A4460" w:rsidP="003A4460">
            <w:pPr>
              <w:pStyle w:val="BodyText"/>
            </w:pPr>
            <w:r w:rsidRPr="003A4460">
              <w:t>3.3 Identify special characteristics of the leadlight and stained glass aperture in relation to the effect of the fitting process on the finished job</w:t>
            </w:r>
          </w:p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3.4 Apply covering m</w:t>
            </w:r>
            <w:r w:rsidRPr="003A4460">
              <w:t>aterial  to protect existing fixtures and fittings in accordance with workplace procedures</w:t>
            </w:r>
          </w:p>
        </w:tc>
      </w:tr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4. Fit leadlight and stained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t xml:space="preserve">4.1 Fix leadlight and stained glass to the frame or opening using the selected method </w:t>
            </w:r>
          </w:p>
          <w:p w:rsidR="00000000" w:rsidRPr="003A4460" w:rsidP="003A4460">
            <w:pPr>
              <w:pStyle w:val="BodyText"/>
            </w:pPr>
            <w:r w:rsidRPr="003A4460">
              <w:t>4.2 Apply solvents and sealants in accorda</w:t>
            </w:r>
            <w:r w:rsidRPr="003A4460">
              <w:t>nce with manufacturer instructions</w:t>
            </w:r>
          </w:p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4.3 Clean leadlight and stained glass and/or frame after fixing using appropriate cleaning agents</w:t>
            </w:r>
          </w:p>
        </w:tc>
      </w:tr>
      <w:tr w:rsidTr="009769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460">
            <w:pPr>
              <w:pStyle w:val="BodyText"/>
              <w:rPr>
                <w:lang w:val="en-NZ"/>
              </w:rPr>
            </w:pPr>
            <w:r w:rsidRPr="003A4460">
              <w:t>5. Finalise the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460" w:rsidP="003A4460">
            <w:pPr>
              <w:pStyle w:val="BodyText"/>
            </w:pPr>
            <w:r w:rsidRPr="003A4460">
              <w:t xml:space="preserve">5.1 Check completed installation to ensure compliance </w:t>
            </w:r>
          </w:p>
          <w:p w:rsidR="00000000" w:rsidRPr="003A4460" w:rsidP="003A4460">
            <w:pPr>
              <w:pStyle w:val="BodyText"/>
            </w:pPr>
            <w:r w:rsidRPr="003A4460">
              <w:t>5.2 Check completed installation for c</w:t>
            </w:r>
            <w:r w:rsidRPr="003A4460">
              <w:t>ompliance with customer requirements and specifications</w:t>
            </w:r>
          </w:p>
          <w:p w:rsidR="00000000" w:rsidRPr="003A4460" w:rsidP="003A4460">
            <w:pPr>
              <w:pStyle w:val="BodyText"/>
            </w:pPr>
            <w:r w:rsidRPr="003A4460">
              <w:t>5.3 Clean and store tools, equipment and materials in accordance with workplace procedures</w:t>
            </w:r>
          </w:p>
          <w:p w:rsidR="00000000" w:rsidRPr="003A4460" w:rsidP="003A4460">
            <w:pPr>
              <w:pStyle w:val="BodyText"/>
            </w:pPr>
            <w:r w:rsidRPr="003A4460">
              <w:t>5.4 Clean work area and leave in a safe condition and dispose of or recycle waste in accordance with workplace protocols</w:t>
            </w:r>
          </w:p>
          <w:p w:rsidR="00000000" w:rsidRPr="003A4460" w:rsidP="003A4460">
            <w:pPr>
              <w:pStyle w:val="BodyText"/>
            </w:pPr>
            <w:r w:rsidRPr="003A4460">
              <w:t>5.5 Accurately complete required workplace documentation</w:t>
            </w:r>
          </w:p>
        </w:tc>
      </w:tr>
    </w:tbl>
    <w:p w:rsidR="009769C1" w:rsidP="003A4460">
      <w:pPr>
        <w:pStyle w:val="BodyText"/>
      </w:pPr>
    </w:p>
    <w:p w:rsidR="009769C1" w:rsidP="003A4460">
      <w:pPr>
        <w:pStyle w:val="BodyText"/>
      </w:pPr>
    </w:p>
    <w:p w:rsidR="00000000" w:rsidRPr="003A4460" w:rsidP="003A4460">
      <w:pPr>
        <w:pStyle w:val="Heading1"/>
      </w:pPr>
      <w:bookmarkStart w:id="6" w:name="O_1014448"/>
      <w:bookmarkEnd w:id="6"/>
      <w:r w:rsidRPr="003A4460">
        <w:t>Foundation Skills</w:t>
      </w:r>
    </w:p>
    <w:p w:rsidR="00000000" w:rsidRPr="003A4460" w:rsidP="009769C1">
      <w:pPr>
        <w:pStyle w:val="BodyText"/>
      </w:pPr>
      <w:r w:rsidRPr="003A4460">
        <w:t>Foundation skills essential to perform</w:t>
      </w:r>
      <w:r w:rsidRPr="003A4460">
        <w:t>ance are explicit in the performance criteria of this unit of competency.</w:t>
      </w:r>
    </w:p>
    <w:p w:rsidR="00000000" w:rsidRPr="003A4460" w:rsidP="003A4460">
      <w:pPr>
        <w:pStyle w:val="Heading1"/>
      </w:pPr>
      <w:bookmarkStart w:id="7" w:name="O_1014447"/>
      <w:bookmarkEnd w:id="7"/>
      <w:r w:rsidRPr="003A4460">
        <w:t>Unit Mapping Information</w:t>
      </w:r>
    </w:p>
    <w:p w:rsidR="00000000" w:rsidRPr="003A4460" w:rsidP="009769C1">
      <w:pPr>
        <w:pStyle w:val="BodyText"/>
      </w:pPr>
      <w:r w:rsidRPr="003A4460">
        <w:t>Supersedes and is equivalent to MSFSL3004 Prepare and install architectural engineered leadlight and stained glass.</w:t>
      </w:r>
    </w:p>
    <w:p w:rsidR="00000000" w:rsidRPr="003A4460" w:rsidP="003A4460">
      <w:pPr>
        <w:pStyle w:val="Heading1"/>
      </w:pPr>
      <w:bookmarkStart w:id="8" w:name="O_1014440"/>
      <w:bookmarkEnd w:id="8"/>
      <w:r w:rsidRPr="003A4460">
        <w:t>Lin</w:t>
      </w:r>
      <w:r w:rsidRPr="003A4460">
        <w:t>ks</w:t>
      </w:r>
    </w:p>
    <w:p w:rsidR="00000000" w:rsidRPr="003A4460" w:rsidP="009769C1">
      <w:pPr>
        <w:pStyle w:val="BodyText"/>
      </w:pPr>
      <w:r w:rsidRPr="003A4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97D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A4460" w:rsidP="009769C1">
      <w:pPr>
        <w:pStyle w:val="BodyText"/>
        <w:sectPr w:rsidSect="003A44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4460" w:rsidP="003A4460">
      <w:pPr>
        <w:pStyle w:val="SuperHeading"/>
      </w:pPr>
      <w:r w:rsidRPr="003A4460">
        <w:t>Assessment Requirements for MSFDG3002 Prepare and install ar</w:t>
      </w:r>
      <w:r w:rsidRPr="003A4460">
        <w:t>chitectural engineered leadlight and stained glass</w:t>
      </w:r>
    </w:p>
    <w:p w:rsidR="00000000" w:rsidRPr="003A4460" w:rsidP="003A4460">
      <w:pPr>
        <w:pStyle w:val="Heading1"/>
      </w:pPr>
      <w:bookmarkStart w:id="9" w:name="O_1014442"/>
      <w:bookmarkEnd w:id="9"/>
      <w:r w:rsidRPr="003A4460">
        <w:t>Modification History</w:t>
      </w:r>
    </w:p>
    <w:p w:rsidR="00000000" w:rsidRPr="003A4460" w:rsidP="009769C1">
      <w:pPr>
        <w:pStyle w:val="BodyText"/>
      </w:pPr>
      <w:r w:rsidRPr="003A4460">
        <w:t>Release 1. Supersedes and is equivalent to MSFSL3004 Prepare and install architectural engineered leadlight and stained glass.</w:t>
      </w:r>
    </w:p>
    <w:p w:rsidR="00000000" w:rsidRPr="003A4460" w:rsidP="003A4460">
      <w:pPr>
        <w:pStyle w:val="Heading1"/>
      </w:pPr>
      <w:bookmarkStart w:id="10" w:name="O_1014445"/>
      <w:bookmarkEnd w:id="10"/>
      <w:r w:rsidRPr="003A4460">
        <w:t>Performance Evidence</w:t>
      </w:r>
    </w:p>
    <w:p w:rsidR="00000000" w:rsidRPr="003A4460" w:rsidP="009769C1">
      <w:pPr>
        <w:pStyle w:val="BodyText"/>
      </w:pPr>
      <w:r w:rsidRPr="003A4460">
        <w:t xml:space="preserve">There must be evidence the candidate has completed the tasks outlined in the elements and performance criteria of this unit, and: </w:t>
      </w:r>
    </w:p>
    <w:p w:rsidR="00000000" w:rsidRPr="003A4460" w:rsidP="003A4460">
      <w:pPr>
        <w:pStyle w:val="ListBullet"/>
      </w:pPr>
      <w:r w:rsidRPr="003A4460">
        <w:t>constructed 3 different leadlight panels which individually or cumulatively include geometric and organic shapes</w:t>
      </w:r>
    </w:p>
    <w:p w:rsidR="00000000" w:rsidRPr="003A4460" w:rsidP="003A4460">
      <w:pPr>
        <w:pStyle w:val="ListBullet"/>
      </w:pPr>
      <w:r w:rsidRPr="003A4460">
        <w:t>made repai</w:t>
      </w:r>
      <w:r w:rsidRPr="003A4460">
        <w:t>rs that individually or cumulatively include all of the following:</w:t>
      </w:r>
    </w:p>
    <w:p w:rsidR="00000000" w:rsidRPr="003A4460" w:rsidP="003A4460">
      <w:pPr>
        <w:pStyle w:val="ListBullet2"/>
      </w:pPr>
      <w:r w:rsidRPr="003A4460">
        <w:t>corner</w:t>
      </w:r>
    </w:p>
    <w:p w:rsidR="00000000" w:rsidRPr="003A4460" w:rsidP="003A4460">
      <w:pPr>
        <w:pStyle w:val="ListBullet2"/>
      </w:pPr>
      <w:r w:rsidRPr="003A4460">
        <w:t xml:space="preserve">edge </w:t>
      </w:r>
    </w:p>
    <w:p w:rsidR="00000000" w:rsidRPr="003A4460" w:rsidP="003A4460">
      <w:pPr>
        <w:pStyle w:val="ListBullet2"/>
      </w:pPr>
      <w:r w:rsidRPr="003A4460">
        <w:t xml:space="preserve">internal </w:t>
      </w:r>
    </w:p>
    <w:p w:rsidR="00000000" w:rsidRPr="003A4460" w:rsidP="003A4460">
      <w:pPr>
        <w:pStyle w:val="ListBullet2"/>
      </w:pPr>
      <w:r w:rsidRPr="003A4460">
        <w:t>complete re-lead</w:t>
      </w:r>
    </w:p>
    <w:p w:rsidR="00000000" w:rsidRPr="003A4460" w:rsidP="003A4460">
      <w:pPr>
        <w:pStyle w:val="ListBullet2"/>
      </w:pPr>
      <w:r w:rsidRPr="003A4460">
        <w:t>bench repair</w:t>
      </w:r>
    </w:p>
    <w:p w:rsidR="00000000" w:rsidRPr="003A4460" w:rsidP="003A4460">
      <w:pPr>
        <w:pStyle w:val="ListBullet2"/>
      </w:pPr>
      <w:r w:rsidRPr="003A4460">
        <w:t>in situ repair.</w:t>
      </w:r>
    </w:p>
    <w:p w:rsidR="00000000" w:rsidRPr="003A4460" w:rsidP="003A4460">
      <w:pPr>
        <w:pStyle w:val="AllowPageBreak"/>
      </w:pPr>
    </w:p>
    <w:p w:rsidR="00000000" w:rsidRPr="003A4460" w:rsidP="003A4460">
      <w:pPr>
        <w:pStyle w:val="Heading1"/>
      </w:pPr>
      <w:bookmarkStart w:id="11" w:name="O_1014444"/>
      <w:bookmarkEnd w:id="11"/>
      <w:r w:rsidRPr="003A4460">
        <w:t>Knowledge Evidence</w:t>
      </w:r>
    </w:p>
    <w:p w:rsidR="00000000" w:rsidRPr="003A4460" w:rsidP="009769C1">
      <w:pPr>
        <w:pStyle w:val="BodyText"/>
      </w:pPr>
      <w:r w:rsidRPr="003A4460">
        <w:t>There must be evidence the candidate has knowledge of:</w:t>
      </w:r>
    </w:p>
    <w:p w:rsidR="00000000" w:rsidRPr="003A4460" w:rsidP="003A4460">
      <w:pPr>
        <w:pStyle w:val="ListBullet"/>
      </w:pPr>
      <w:r w:rsidRPr="003A4460">
        <w:t>state or territory work health and safety legislation, regulations, standards and codes of practice relevant to the full range of processes for leadlight and stained glass operations</w:t>
      </w:r>
    </w:p>
    <w:p w:rsidR="00000000" w:rsidRPr="003A4460" w:rsidP="003A4460">
      <w:pPr>
        <w:pStyle w:val="ListBullet"/>
      </w:pPr>
      <w:r w:rsidRPr="003A4460">
        <w:t>architectural leadlight and stained glass construction terminology and te</w:t>
      </w:r>
      <w:r w:rsidRPr="003A4460">
        <w:t>chniques</w:t>
      </w:r>
    </w:p>
    <w:p w:rsidR="00000000" w:rsidRPr="003A4460" w:rsidP="003A4460">
      <w:pPr>
        <w:pStyle w:val="ListBullet"/>
      </w:pPr>
      <w:r w:rsidRPr="003A4460">
        <w:t xml:space="preserve">organisational and site standards, requirements, policies and procedures for preparation and installation of architectural leadlight and stained glass </w:t>
      </w:r>
    </w:p>
    <w:p w:rsidR="00000000" w:rsidRPr="003A4460" w:rsidP="003A4460">
      <w:pPr>
        <w:pStyle w:val="ListBullet"/>
      </w:pPr>
      <w:r w:rsidRPr="003A4460">
        <w:t>types of glass and other materials used in the leadlight and stained glass industry, their char</w:t>
      </w:r>
      <w:r w:rsidRPr="003A4460">
        <w:t>acteristics, properties, uses and limitations</w:t>
      </w:r>
    </w:p>
    <w:p w:rsidR="00000000" w:rsidRPr="003A4460" w:rsidP="003A4460">
      <w:pPr>
        <w:pStyle w:val="ListBullet"/>
      </w:pPr>
      <w:r w:rsidRPr="003A4460">
        <w:t>structural leadlight and stained glass, their properties, uses and limitations</w:t>
      </w:r>
    </w:p>
    <w:p w:rsidR="00000000" w:rsidRPr="003A4460" w:rsidP="003A4460">
      <w:pPr>
        <w:pStyle w:val="ListBullet"/>
      </w:pPr>
      <w:r w:rsidRPr="003A4460">
        <w:t>types, characteristics, safe use, maintenance and limitations of tools, equipment and materials</w:t>
      </w:r>
    </w:p>
    <w:p w:rsidR="00000000" w:rsidRPr="003A4460" w:rsidP="003A4460">
      <w:pPr>
        <w:pStyle w:val="ListBullet"/>
      </w:pPr>
      <w:r w:rsidRPr="003A4460">
        <w:t>environmental protection requiremen</w:t>
      </w:r>
      <w:r w:rsidRPr="003A4460">
        <w:t>ts relating to the disposal of waste material</w:t>
      </w:r>
    </w:p>
    <w:p w:rsidR="00000000" w:rsidRPr="003A4460" w:rsidP="003A4460">
      <w:pPr>
        <w:pStyle w:val="ListBullet"/>
      </w:pPr>
      <w:r w:rsidRPr="003A4460">
        <w:t>problem identification and resolution</w:t>
      </w:r>
    </w:p>
    <w:p w:rsidR="00000000" w:rsidRPr="003A4460" w:rsidP="003A4460">
      <w:pPr>
        <w:pStyle w:val="ListBullet"/>
      </w:pPr>
      <w:r w:rsidRPr="003A4460">
        <w:t>storage systems and labelling</w:t>
      </w:r>
    </w:p>
    <w:p w:rsidR="00000000" w:rsidRPr="003A4460" w:rsidP="003A4460">
      <w:pPr>
        <w:pStyle w:val="ListBullet"/>
      </w:pPr>
      <w:r w:rsidRPr="003A4460">
        <w:t>procedures for the recording, reporting and maintenance of workplace records and information</w:t>
      </w:r>
    </w:p>
    <w:p w:rsidR="009769C1" w:rsidP="003A4460">
      <w:pPr>
        <w:pStyle w:val="ListBullet"/>
      </w:pPr>
      <w:r w:rsidRPr="003A4460">
        <w:t>mathematical procedures for estimation and measur</w:t>
      </w:r>
      <w:r w:rsidRPr="003A4460">
        <w:t>ement.</w:t>
      </w:r>
    </w:p>
    <w:p w:rsidR="009769C1" w:rsidP="003A4460">
      <w:pPr>
        <w:pStyle w:val="ListBullet"/>
      </w:pPr>
    </w:p>
    <w:p w:rsidR="00000000" w:rsidRPr="003A4460" w:rsidP="003A4460">
      <w:pPr>
        <w:pStyle w:val="Heading1"/>
      </w:pPr>
      <w:bookmarkStart w:id="12" w:name="O_1014443"/>
      <w:bookmarkEnd w:id="12"/>
      <w:r w:rsidRPr="003A4460">
        <w:t>Assessment Conditions</w:t>
      </w:r>
    </w:p>
    <w:p w:rsidR="00000000" w:rsidRPr="003A4460" w:rsidP="009769C1">
      <w:pPr>
        <w:pStyle w:val="BodyText"/>
      </w:pPr>
      <w:r w:rsidRPr="003A446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A4460" w:rsidP="003A4460">
      <w:pPr>
        <w:pStyle w:val="ListBullet"/>
      </w:pPr>
      <w:r w:rsidRPr="003A4460">
        <w:t>use of suitable f</w:t>
      </w:r>
      <w:r w:rsidRPr="003A4460">
        <w:t xml:space="preserve">acilities, equipment and resources, including: </w:t>
      </w:r>
    </w:p>
    <w:p w:rsidR="00000000" w:rsidRPr="003A4460" w:rsidP="003A4460">
      <w:pPr>
        <w:pStyle w:val="ListBullet"/>
      </w:pPr>
      <w:r w:rsidRPr="003A4460">
        <w:t>stained glass and leadlight for installation</w:t>
      </w:r>
    </w:p>
    <w:p w:rsidR="00000000" w:rsidRPr="003A4460" w:rsidP="003A4460">
      <w:pPr>
        <w:pStyle w:val="ListBullet2"/>
      </w:pPr>
      <w:r w:rsidRPr="003A4460">
        <w:t>tools and equipment to complete tasks in the Performance Evidence</w:t>
      </w:r>
    </w:p>
    <w:p w:rsidR="00000000" w:rsidRPr="003A4460" w:rsidP="003A4460">
      <w:pPr>
        <w:pStyle w:val="ListBullet2"/>
      </w:pPr>
      <w:r w:rsidRPr="003A4460">
        <w:t xml:space="preserve">customer and/or work requirements </w:t>
      </w:r>
    </w:p>
    <w:p w:rsidR="00000000" w:rsidRPr="003A4460" w:rsidP="003A4460">
      <w:pPr>
        <w:pStyle w:val="ListBullet2"/>
      </w:pPr>
      <w:r w:rsidRPr="003A4460">
        <w:t>workplace procedures.</w:t>
      </w:r>
    </w:p>
    <w:p w:rsidR="009769C1" w:rsidP="009769C1">
      <w:pPr>
        <w:pStyle w:val="BodyText"/>
      </w:pPr>
      <w:r w:rsidRPr="003A4460">
        <w:t>Assessors must satisfy the NVR/AQTF mandatory competency requirements for assessors.</w:t>
      </w:r>
    </w:p>
    <w:p w:rsidR="00000000" w:rsidRPr="003A4460" w:rsidP="003A4460">
      <w:pPr>
        <w:pStyle w:val="Heading1"/>
      </w:pPr>
      <w:bookmarkStart w:id="13" w:name="O_1014441"/>
      <w:bookmarkEnd w:id="13"/>
      <w:r w:rsidRPr="003A4460">
        <w:t>Links</w:t>
      </w:r>
    </w:p>
    <w:p w:rsidR="00000000" w:rsidRPr="003A4460" w:rsidP="009769C1">
      <w:pPr>
        <w:pStyle w:val="BodyText"/>
      </w:pPr>
      <w:r w:rsidRPr="003A4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97D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A4460" w:rsidP="003A4460"/>
    <w:sectPr w:rsidSect="003A44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 w:rsidRPr="009769C1" w:rsidP="00976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9C1" w:rsidP="003A4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9C1" w:rsidP="003A4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9C1" w:rsidP="003A44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 w:rsidP="003A4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9C1">
      <w:t>Approved</w:t>
    </w:r>
    <w:r w:rsidR="009769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9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9C1">
      <w:rPr>
        <w:noProof/>
      </w:rPr>
      <w:t>4</w:t>
    </w:r>
    <w:r>
      <w:rPr>
        <w:noProof/>
      </w:rPr>
      <w:fldChar w:fldCharType="end"/>
    </w:r>
  </w:p>
  <w:p w:rsidR="003A4460" w:rsidP="003A4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9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9C1">
      <w:t>Skills Insight</w:t>
    </w:r>
    <w:r w:rsidR="009769C1">
      <w:fldChar w:fldCharType="end"/>
    </w:r>
  </w:p>
  <w:p w:rsidR="003A4460" w:rsidP="003A4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460" w:rsidRPr="009769C1" w:rsidP="00976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9C1" w:rsidRPr="002D2AF8" w:rsidP="003A4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MSFDG3002 Prepare and install architectural engineered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9C1" w:rsidP="003A44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60" w:rsidRPr="002D2AF8" w:rsidP="003A4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9C1">
      <w:t>MSFDG3002 Prepare and install architectural engineered leadlight and stained glass</w:t>
    </w:r>
    <w:r w:rsidR="009769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9C1">
      <w:rPr>
        <w:noProof/>
      </w:rPr>
      <w:t>2 March 2025</w:t>
    </w:r>
    <w:r>
      <w:fldChar w:fldCharType="end"/>
    </w:r>
  </w:p>
  <w:p w:rsidR="003A4460" w:rsidP="003A4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A0B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EE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401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460"/>
  </w:style>
  <w:style w:type="character" w:customStyle="1" w:styleId="Heading1Char">
    <w:name w:val="Heading 1 Char"/>
    <w:basedOn w:val="DefaultParagraphFont"/>
    <w:link w:val="Heading1"/>
    <w:rsid w:val="003A4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4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460"/>
    <w:rPr>
      <w:b/>
      <w:spacing w:val="0"/>
    </w:rPr>
  </w:style>
  <w:style w:type="paragraph" w:styleId="ListBullet2">
    <w:name w:val="List Bullet 2"/>
    <w:basedOn w:val="List2"/>
    <w:rsid w:val="003A44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4460"/>
    <w:rPr>
      <w:i/>
    </w:rPr>
  </w:style>
  <w:style w:type="paragraph" w:customStyle="1" w:styleId="SuperHeading">
    <w:name w:val="SuperHeading"/>
    <w:basedOn w:val="Normal"/>
    <w:rsid w:val="003A4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4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460"/>
  </w:style>
  <w:style w:type="paragraph" w:styleId="TableofFigures">
    <w:name w:val="table of figures"/>
    <w:basedOn w:val="Normal"/>
    <w:next w:val="Normal"/>
    <w:semiHidden/>
    <w:rsid w:val="003A4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4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460"/>
    <w:rPr>
      <w:rFonts w:ascii="Wingdings" w:hAnsi="Wingdings"/>
    </w:rPr>
  </w:style>
  <w:style w:type="paragraph" w:customStyle="1" w:styleId="TableHeading">
    <w:name w:val="Table Heading"/>
    <w:basedOn w:val="HeadingBase"/>
    <w:rsid w:val="003A4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460"/>
    <w:rPr>
      <w:color w:val="0033CC"/>
      <w:u w:val="none"/>
    </w:rPr>
  </w:style>
  <w:style w:type="paragraph" w:customStyle="1" w:styleId="BodyTextRight">
    <w:name w:val="Body Text Right"/>
    <w:basedOn w:val="BodyText"/>
    <w:rsid w:val="003A4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4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460"/>
    <w:rPr>
      <w:sz w:val="32"/>
    </w:rPr>
  </w:style>
  <w:style w:type="paragraph" w:customStyle="1" w:styleId="HeadingProcedure">
    <w:name w:val="Heading Procedure"/>
    <w:basedOn w:val="HeadingBase"/>
    <w:next w:val="Normal"/>
    <w:rsid w:val="003A4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460"/>
    <w:pPr>
      <w:spacing w:before="60" w:after="60"/>
    </w:pPr>
  </w:style>
  <w:style w:type="paragraph" w:styleId="ListContinue">
    <w:name w:val="List Continue"/>
    <w:basedOn w:val="List"/>
    <w:rsid w:val="003A4460"/>
    <w:pPr>
      <w:ind w:firstLine="0"/>
    </w:pPr>
  </w:style>
  <w:style w:type="paragraph" w:customStyle="1" w:styleId="ListNote">
    <w:name w:val="List Note"/>
    <w:basedOn w:val="List"/>
    <w:rsid w:val="003A4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460"/>
    <w:rPr>
      <w:rFonts w:ascii="Courier New" w:hAnsi="Courier New"/>
    </w:rPr>
  </w:style>
  <w:style w:type="paragraph" w:customStyle="1" w:styleId="NoteBullet">
    <w:name w:val="Note Bullet"/>
    <w:basedOn w:val="Note"/>
    <w:rsid w:val="003A4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4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460"/>
    <w:rPr>
      <w:b/>
      <w:smallCaps/>
    </w:rPr>
  </w:style>
  <w:style w:type="paragraph" w:customStyle="1" w:styleId="TableListNumber">
    <w:name w:val="Table List Number"/>
    <w:basedOn w:val="ListNumber"/>
    <w:rsid w:val="003A4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460"/>
    <w:pPr>
      <w:numPr>
        <w:numId w:val="9"/>
      </w:numPr>
    </w:pPr>
  </w:style>
  <w:style w:type="paragraph" w:customStyle="1" w:styleId="ListAlpha2">
    <w:name w:val="List Alpha 2"/>
    <w:basedOn w:val="List2"/>
    <w:rsid w:val="003A4460"/>
    <w:pPr>
      <w:numPr>
        <w:numId w:val="8"/>
      </w:numPr>
    </w:pPr>
  </w:style>
  <w:style w:type="paragraph" w:styleId="List2">
    <w:name w:val="List 2"/>
    <w:basedOn w:val="BodyText"/>
    <w:rsid w:val="003A4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4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4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460"/>
    <w:pPr>
      <w:numPr>
        <w:numId w:val="4"/>
      </w:numPr>
    </w:pPr>
  </w:style>
  <w:style w:type="paragraph" w:styleId="ListContinue2">
    <w:name w:val="List Continue 2"/>
    <w:basedOn w:val="List2"/>
    <w:rsid w:val="003A4460"/>
    <w:pPr>
      <w:ind w:firstLine="0"/>
    </w:pPr>
  </w:style>
  <w:style w:type="paragraph" w:styleId="ListContinue3">
    <w:name w:val="List Continue 3"/>
    <w:basedOn w:val="List3"/>
    <w:rsid w:val="003A4460"/>
    <w:pPr>
      <w:ind w:left="1021" w:firstLine="0"/>
    </w:pPr>
  </w:style>
  <w:style w:type="paragraph" w:styleId="ListContinue4">
    <w:name w:val="List Continue 4"/>
    <w:basedOn w:val="List4"/>
    <w:rsid w:val="003A4460"/>
    <w:pPr>
      <w:ind w:firstLine="0"/>
    </w:pPr>
  </w:style>
  <w:style w:type="paragraph" w:styleId="ListContinue5">
    <w:name w:val="List Continue 5"/>
    <w:basedOn w:val="List5"/>
    <w:rsid w:val="003A4460"/>
    <w:pPr>
      <w:ind w:firstLine="0"/>
    </w:pPr>
  </w:style>
  <w:style w:type="paragraph" w:styleId="ListNumber3">
    <w:name w:val="List Number 3"/>
    <w:basedOn w:val="List3"/>
    <w:rsid w:val="003A4460"/>
    <w:pPr>
      <w:numPr>
        <w:numId w:val="5"/>
      </w:numPr>
    </w:pPr>
  </w:style>
  <w:style w:type="paragraph" w:styleId="ListNumber4">
    <w:name w:val="List Number 4"/>
    <w:basedOn w:val="List4"/>
    <w:rsid w:val="003A4460"/>
    <w:pPr>
      <w:numPr>
        <w:numId w:val="6"/>
      </w:numPr>
    </w:pPr>
  </w:style>
  <w:style w:type="paragraph" w:styleId="ListNumber5">
    <w:name w:val="List Number 5"/>
    <w:basedOn w:val="List5"/>
    <w:rsid w:val="003A4460"/>
    <w:pPr>
      <w:numPr>
        <w:numId w:val="7"/>
      </w:numPr>
    </w:pPr>
  </w:style>
  <w:style w:type="paragraph" w:styleId="BlockText">
    <w:name w:val="Block Text"/>
    <w:basedOn w:val="Normal"/>
    <w:rsid w:val="003A4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460"/>
    <w:rPr>
      <w:sz w:val="16"/>
      <w:vertAlign w:val="superscript"/>
    </w:rPr>
  </w:style>
  <w:style w:type="character" w:customStyle="1" w:styleId="Symbols">
    <w:name w:val="Symbols"/>
    <w:basedOn w:val="DefaultParagraphFont"/>
    <w:rsid w:val="003A4460"/>
    <w:rPr>
      <w:rFonts w:ascii="Symbol" w:hAnsi="Symbol"/>
    </w:rPr>
  </w:style>
  <w:style w:type="character" w:customStyle="1" w:styleId="MenuOptions">
    <w:name w:val="Menu Options"/>
    <w:basedOn w:val="DefaultParagraphFont"/>
    <w:rsid w:val="003A4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460"/>
    <w:rPr>
      <w:b/>
    </w:rPr>
  </w:style>
  <w:style w:type="character" w:customStyle="1" w:styleId="Underlined">
    <w:name w:val="Underlined"/>
    <w:basedOn w:val="DefaultParagraphFont"/>
    <w:rsid w:val="003A4460"/>
    <w:rPr>
      <w:u w:val="single"/>
    </w:rPr>
  </w:style>
  <w:style w:type="paragraph" w:customStyle="1" w:styleId="TableBodyTextRight">
    <w:name w:val="Table Body Text Right"/>
    <w:basedOn w:val="TableBodyText"/>
    <w:rsid w:val="003A4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460"/>
    <w:rPr>
      <w:sz w:val="18"/>
    </w:rPr>
  </w:style>
  <w:style w:type="paragraph" w:customStyle="1" w:styleId="BodySmallRight">
    <w:name w:val="Body Small Right"/>
    <w:basedOn w:val="BodyTextRight"/>
    <w:rsid w:val="003A4460"/>
    <w:rPr>
      <w:sz w:val="18"/>
      <w:szCs w:val="18"/>
    </w:rPr>
  </w:style>
  <w:style w:type="paragraph" w:customStyle="1" w:styleId="MarginEdition">
    <w:name w:val="Margin Edition"/>
    <w:basedOn w:val="MarginNote"/>
    <w:rsid w:val="003A4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460"/>
    <w:rPr>
      <w:sz w:val="2"/>
      <w:szCs w:val="2"/>
    </w:rPr>
  </w:style>
  <w:style w:type="character" w:customStyle="1" w:styleId="Small">
    <w:name w:val="Small"/>
    <w:basedOn w:val="DefaultParagraphFont"/>
    <w:rsid w:val="003A4460"/>
    <w:rPr>
      <w:sz w:val="16"/>
    </w:rPr>
  </w:style>
  <w:style w:type="paragraph" w:customStyle="1" w:styleId="WideTable">
    <w:name w:val="Wide Table"/>
    <w:basedOn w:val="Normal"/>
    <w:rsid w:val="003A4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460"/>
  </w:style>
  <w:style w:type="paragraph" w:styleId="Quote">
    <w:name w:val="Quote"/>
    <w:basedOn w:val="Heading1"/>
    <w:link w:val="QuoteChar"/>
    <w:qFormat/>
    <w:rsid w:val="003A4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460"/>
    <w:pPr>
      <w:pageBreakBefore/>
    </w:pPr>
  </w:style>
  <w:style w:type="paragraph" w:customStyle="1" w:styleId="Border">
    <w:name w:val="Border"/>
    <w:basedOn w:val="Normal"/>
    <w:qFormat/>
    <w:rsid w:val="003A4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460"/>
    <w:rPr>
      <w:u w:val="single"/>
    </w:rPr>
  </w:style>
  <w:style w:type="character" w:customStyle="1" w:styleId="BoldandItalics">
    <w:name w:val="Bold and Italics"/>
    <w:qFormat/>
    <w:rsid w:val="003A4460"/>
    <w:rPr>
      <w:b/>
      <w:i/>
      <w:u w:val="none"/>
    </w:rPr>
  </w:style>
  <w:style w:type="paragraph" w:styleId="BalloonText">
    <w:name w:val="Balloon Text"/>
    <w:basedOn w:val="Normal"/>
    <w:link w:val="BalloonTextChar"/>
    <w:rsid w:val="003A4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460"/>
    <w:pPr>
      <w:spacing w:before="0" w:after="0"/>
    </w:pPr>
  </w:style>
  <w:style w:type="paragraph" w:customStyle="1" w:styleId="BodyTextBold">
    <w:name w:val="Body Text Bold"/>
    <w:basedOn w:val="BodyText"/>
    <w:qFormat/>
    <w:rsid w:val="003A4460"/>
    <w:rPr>
      <w:b/>
    </w:rPr>
  </w:style>
  <w:style w:type="character" w:styleId="Hyperlink">
    <w:name w:val="Hyperlink"/>
    <w:basedOn w:val="DefaultParagraphFont"/>
    <w:uiPriority w:val="99"/>
    <w:unhideWhenUsed/>
    <w:rsid w:val="00976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5668</Characters>
  <Application>Microsoft Office Word</Application>
  <DocSecurity>0</DocSecurity>
  <Lines>161</Lines>
  <Paragraphs>102</Paragraphs>
  <ScaleCrop>false</ScaleCrop>
  <Company>Author-it Software Corporation Ltd.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MSFDG3002 Prepare and install architectural engineered leadlight and stained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