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2454" w:rsidP="009B24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MSFDG3001 Protect leadlight and stained glass</w:t>
      </w:r>
      <w:r>
        <w:fldChar w:fldCharType="end"/>
      </w:r>
    </w:p>
    <w:p w:rsidR="009B2454" w:rsidP="009B2454">
      <w:pPr>
        <w:pStyle w:val="Version"/>
        <w:sectPr w:rsidSect="00B858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58AB" w:rsidP="00B858AB">
      <w:pPr>
        <w:pStyle w:val="SuperHeading"/>
      </w:pPr>
      <w:r w:rsidRPr="00B858AB">
        <w:t>MSFDG3001 Protect leadlight and stained glass</w:t>
      </w:r>
    </w:p>
    <w:p w:rsidR="00000000" w:rsidRPr="00B858AB" w:rsidP="00B858AB">
      <w:pPr>
        <w:pStyle w:val="Heading1"/>
      </w:pPr>
      <w:bookmarkStart w:id="1" w:name="O_1014429"/>
      <w:bookmarkEnd w:id="1"/>
      <w:r w:rsidRPr="00B858AB">
        <w:t>Modification History</w:t>
      </w:r>
    </w:p>
    <w:p w:rsidR="00000000" w:rsidRPr="00B858AB" w:rsidP="009B2454">
      <w:pPr>
        <w:pStyle w:val="BodyText"/>
      </w:pPr>
      <w:r w:rsidRPr="00B858AB">
        <w:t>Release 1. Supersedes and is equivalent to MSFSL3002 Protect stained glass and leadlighting.</w:t>
      </w:r>
    </w:p>
    <w:p w:rsidR="00000000" w:rsidRPr="00B858AB" w:rsidP="00B858AB">
      <w:pPr>
        <w:pStyle w:val="Heading1"/>
      </w:pPr>
      <w:bookmarkStart w:id="2" w:name="O_1014435"/>
      <w:bookmarkEnd w:id="2"/>
      <w:r w:rsidRPr="00B858AB">
        <w:t>Application</w:t>
      </w:r>
    </w:p>
    <w:p w:rsidR="00000000" w:rsidRPr="00B858AB" w:rsidP="009B2454">
      <w:pPr>
        <w:pStyle w:val="BodyText"/>
      </w:pPr>
      <w:r w:rsidRPr="00B858AB">
        <w:t>This unit describes the skills and knowledge required to protect leadlight and stained glass for secur</w:t>
      </w:r>
      <w:r w:rsidRPr="00B858AB">
        <w:t>ity, environmental and heritage purposes.</w:t>
      </w:r>
    </w:p>
    <w:p w:rsidR="00000000" w:rsidRPr="00B858AB" w:rsidP="009B2454">
      <w:pPr>
        <w:pStyle w:val="BodyText"/>
      </w:pPr>
      <w:r w:rsidRPr="00B858AB">
        <w:t>This unit applies to individuals working with designed glass.</w:t>
      </w:r>
    </w:p>
    <w:p w:rsidR="009B2454" w:rsidP="009B2454">
      <w:pPr>
        <w:pStyle w:val="BodyText"/>
      </w:pPr>
      <w:r w:rsidRPr="00B858AB">
        <w:t>No licensing or certification requirements exist at the time of publication. Relevant legislation, industry standards and codes of practice within Austr</w:t>
      </w:r>
      <w:r w:rsidRPr="00B858AB">
        <w:t>alia must be applied.</w:t>
      </w:r>
    </w:p>
    <w:p w:rsidR="00000000" w:rsidRPr="00B858AB" w:rsidP="00B858AB">
      <w:pPr>
        <w:pStyle w:val="Heading1"/>
      </w:pPr>
      <w:bookmarkStart w:id="3" w:name="O_1014434"/>
      <w:bookmarkEnd w:id="3"/>
      <w:r w:rsidRPr="00B858AB">
        <w:t>Pre-requisite Unit</w:t>
      </w:r>
    </w:p>
    <w:p w:rsidR="009B2454" w:rsidP="009B2454">
      <w:pPr>
        <w:pStyle w:val="BodyText"/>
      </w:pPr>
      <w:r w:rsidRPr="00B858AB">
        <w:t>N/A</w:t>
      </w:r>
    </w:p>
    <w:p w:rsidR="00000000" w:rsidRPr="00B858AB" w:rsidP="00B858AB">
      <w:pPr>
        <w:pStyle w:val="Heading1"/>
      </w:pPr>
      <w:bookmarkStart w:id="4" w:name="O_1014433"/>
      <w:bookmarkEnd w:id="4"/>
      <w:r w:rsidRPr="00B858AB">
        <w:t>Unit Sector</w:t>
      </w:r>
    </w:p>
    <w:p w:rsidR="00000000" w:rsidRPr="00B858AB" w:rsidP="009B2454">
      <w:pPr>
        <w:pStyle w:val="BodyText"/>
      </w:pPr>
      <w:r w:rsidRPr="00B858AB">
        <w:t>Leadlight and Stained Glass</w:t>
      </w:r>
    </w:p>
    <w:p w:rsidR="00000000" w:rsidRPr="00B858AB" w:rsidP="00B858AB">
      <w:pPr>
        <w:pStyle w:val="Heading1"/>
      </w:pPr>
      <w:bookmarkStart w:id="5" w:name="O_1014432"/>
      <w:bookmarkEnd w:id="5"/>
      <w:r w:rsidRPr="00B858A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9B24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AB" w:rsidP="00B858AB">
            <w:pPr>
              <w:pStyle w:val="BodyText"/>
            </w:pPr>
            <w:r w:rsidRPr="00B858AB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AB">
            <w:pPr>
              <w:pStyle w:val="BodyText"/>
              <w:rPr>
                <w:lang w:val="en-NZ"/>
              </w:rPr>
            </w:pPr>
            <w:r w:rsidRPr="00B858AB">
              <w:rPr>
                <w:rStyle w:val="SpecialBold"/>
              </w:rPr>
              <w:t>Performance Criteria</w:t>
            </w:r>
          </w:p>
        </w:tc>
      </w:tr>
      <w:tr w:rsidTr="009B24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AB" w:rsidP="00B858AB">
            <w:pPr>
              <w:pStyle w:val="BodyText"/>
            </w:pPr>
            <w:r w:rsidRPr="00B858AB">
              <w:rPr>
                <w:rStyle w:val="Emphasis"/>
              </w:rPr>
              <w:t xml:space="preserve">Elements describe the </w:t>
            </w:r>
            <w:r w:rsidRPr="00B858AB">
              <w:t xml:space="preserve">essential </w:t>
            </w:r>
            <w:r w:rsidRPr="00B858AB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AB">
            <w:pPr>
              <w:pStyle w:val="BodyText"/>
              <w:rPr>
                <w:lang w:val="en-NZ"/>
              </w:rPr>
            </w:pPr>
            <w:r w:rsidRPr="00B858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24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AB">
            <w:pPr>
              <w:pStyle w:val="BodyText"/>
              <w:rPr>
                <w:lang w:val="en-NZ"/>
              </w:rPr>
            </w:pPr>
            <w:r w:rsidRPr="00B858AB">
              <w:t>1. Identify protection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AB" w:rsidP="00B858AB">
            <w:pPr>
              <w:pStyle w:val="BodyText"/>
            </w:pPr>
            <w:r w:rsidRPr="00B858AB">
              <w:t>1.1 Identify and follow work health and safety, legislative and organisational requirements</w:t>
            </w:r>
          </w:p>
          <w:p w:rsidR="00000000" w:rsidRPr="00B858AB" w:rsidP="00B858AB">
            <w:pPr>
              <w:pStyle w:val="BodyText"/>
            </w:pPr>
            <w:r w:rsidRPr="00B858AB">
              <w:t>1.2 Inspect and determine the p</w:t>
            </w:r>
            <w:r w:rsidRPr="00B858AB">
              <w:t>rocess for achieving protection of the leadlight and stained glass</w:t>
            </w:r>
          </w:p>
          <w:p w:rsidR="00000000" w:rsidRPr="00B858AB" w:rsidP="00B858AB">
            <w:pPr>
              <w:pStyle w:val="BodyText"/>
            </w:pPr>
            <w:r w:rsidRPr="00B858AB">
              <w:t xml:space="preserve">1.3 Identify types and quantities of materials required for the protection of leadlight and stained glass from plans or work instructions </w:t>
            </w:r>
          </w:p>
          <w:p w:rsidR="00000000" w:rsidRPr="00B858AB" w:rsidP="00B858AB">
            <w:pPr>
              <w:pStyle w:val="BodyText"/>
            </w:pPr>
            <w:r w:rsidRPr="00B858AB">
              <w:t xml:space="preserve">1.4 Determine work sequence in a logical order to </w:t>
            </w:r>
            <w:r w:rsidRPr="00B858AB">
              <w:t>suit the job</w:t>
            </w:r>
          </w:p>
          <w:p w:rsidR="00000000" w:rsidP="00B858AB">
            <w:pPr>
              <w:pStyle w:val="BodyText"/>
              <w:rPr>
                <w:lang w:val="en-NZ"/>
              </w:rPr>
            </w:pPr>
            <w:r w:rsidRPr="00B858AB">
              <w:t>1.5 Select and check tools, equipment and materials for suitability, serviceability and safety prior to use</w:t>
            </w:r>
          </w:p>
        </w:tc>
      </w:tr>
      <w:tr w:rsidTr="009B24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AB">
            <w:pPr>
              <w:pStyle w:val="BodyText"/>
              <w:rPr>
                <w:lang w:val="en-NZ"/>
              </w:rPr>
            </w:pPr>
            <w:r w:rsidRPr="00B858AB">
              <w:t>2. Install protection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AB" w:rsidP="00B858AB">
            <w:pPr>
              <w:pStyle w:val="BodyText"/>
            </w:pPr>
            <w:r w:rsidRPr="00B858AB">
              <w:t>2.1 Cut, shape and form protection materials to ensure correct size and application</w:t>
            </w:r>
          </w:p>
          <w:p w:rsidR="00000000" w:rsidRPr="00B858AB" w:rsidP="00B858AB">
            <w:pPr>
              <w:pStyle w:val="BodyText"/>
            </w:pPr>
            <w:r w:rsidRPr="00B858AB">
              <w:t>2.2 Install or fit protection materials in accordance with protection requirements</w:t>
            </w:r>
          </w:p>
          <w:p w:rsidR="00000000" w:rsidP="00B858AB">
            <w:pPr>
              <w:pStyle w:val="BodyText"/>
              <w:rPr>
                <w:lang w:val="en-NZ"/>
              </w:rPr>
            </w:pPr>
            <w:r w:rsidRPr="00B858AB">
              <w:t>2.3 Identify and rectify problems occurring during the operation.</w:t>
            </w:r>
          </w:p>
        </w:tc>
      </w:tr>
      <w:tr w:rsidTr="009B24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8AB">
            <w:pPr>
              <w:pStyle w:val="BodyText"/>
              <w:rPr>
                <w:lang w:val="en-NZ"/>
              </w:rPr>
            </w:pPr>
            <w:r w:rsidRPr="00B858AB">
              <w:t>3. Finalise the protection process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8AB" w:rsidP="00B858AB">
            <w:pPr>
              <w:pStyle w:val="BodyText"/>
            </w:pPr>
            <w:r w:rsidRPr="00B858AB">
              <w:t>3.1 Inspect glass for quality of work and identify and repair deficienc</w:t>
            </w:r>
            <w:r w:rsidRPr="00B858AB">
              <w:t>ies</w:t>
            </w:r>
          </w:p>
          <w:p w:rsidR="00000000" w:rsidRPr="00B858AB" w:rsidP="00B858AB">
            <w:pPr>
              <w:pStyle w:val="BodyText"/>
            </w:pPr>
            <w:r w:rsidRPr="00B858AB">
              <w:t>3.2 Clean and store tools, equipment and materials in accordance with workplace procedures</w:t>
            </w:r>
          </w:p>
          <w:p w:rsidR="00000000" w:rsidRPr="00B858AB" w:rsidP="00B858AB">
            <w:pPr>
              <w:pStyle w:val="BodyText"/>
            </w:pPr>
            <w:r w:rsidRPr="00B858AB">
              <w:t>3.3 Clean work area and leave in a safe condition and dispose of or recycle waste in accordance with workplace protocols</w:t>
            </w:r>
          </w:p>
          <w:p w:rsidR="00000000" w:rsidRPr="00B858AB" w:rsidP="00B858AB">
            <w:pPr>
              <w:pStyle w:val="BodyText"/>
            </w:pPr>
            <w:r w:rsidRPr="00B858AB">
              <w:t>3.4 Accurately complete required workpla</w:t>
            </w:r>
            <w:r w:rsidRPr="00B858AB">
              <w:t>ce documentation</w:t>
            </w:r>
          </w:p>
        </w:tc>
      </w:tr>
    </w:tbl>
    <w:p w:rsidR="009B2454" w:rsidP="00B858AB">
      <w:pPr>
        <w:pStyle w:val="BodyText"/>
      </w:pPr>
    </w:p>
    <w:p w:rsidR="009B2454" w:rsidP="00B858AB">
      <w:pPr>
        <w:pStyle w:val="BodyText"/>
      </w:pPr>
    </w:p>
    <w:p w:rsidR="00000000" w:rsidRPr="00B858AB" w:rsidP="00B858AB">
      <w:pPr>
        <w:pStyle w:val="Heading1"/>
      </w:pPr>
      <w:bookmarkStart w:id="6" w:name="O_1014431"/>
      <w:bookmarkEnd w:id="6"/>
      <w:r w:rsidRPr="00B858AB">
        <w:t>Foundation Skills</w:t>
      </w:r>
    </w:p>
    <w:p w:rsidR="00000000" w:rsidRPr="00B858AB" w:rsidP="009B2454">
      <w:pPr>
        <w:pStyle w:val="BodyText"/>
      </w:pPr>
      <w:r w:rsidRPr="00B858AB">
        <w:t>Foundation skills essential to performance are explicit in the performance criteria of this unit of competency.</w:t>
      </w:r>
    </w:p>
    <w:p w:rsidR="00000000" w:rsidRPr="00B858AB" w:rsidP="00B858AB">
      <w:pPr>
        <w:pStyle w:val="Heading1"/>
      </w:pPr>
      <w:bookmarkStart w:id="7" w:name="O_1014430"/>
      <w:bookmarkEnd w:id="7"/>
      <w:r w:rsidRPr="00B858AB">
        <w:t>Unit Mapping Information</w:t>
      </w:r>
    </w:p>
    <w:p w:rsidR="00000000" w:rsidRPr="00B858AB" w:rsidP="009B2454">
      <w:pPr>
        <w:pStyle w:val="BodyText"/>
      </w:pPr>
      <w:r w:rsidRPr="00B858AB">
        <w:t>Supersedes and is equivalent to MSFSL3002 P</w:t>
      </w:r>
      <w:r w:rsidRPr="00B858AB">
        <w:t>rotect stained glass and leadlighting.</w:t>
      </w:r>
    </w:p>
    <w:p w:rsidR="00000000" w:rsidRPr="00B858AB" w:rsidP="00B858AB">
      <w:pPr>
        <w:pStyle w:val="Heading1"/>
      </w:pPr>
      <w:bookmarkStart w:id="8" w:name="O_1014423"/>
      <w:bookmarkEnd w:id="8"/>
      <w:r w:rsidRPr="00B858AB">
        <w:t>Links</w:t>
      </w:r>
    </w:p>
    <w:p w:rsidR="00000000" w:rsidRPr="00B858AB" w:rsidP="009B2454">
      <w:pPr>
        <w:pStyle w:val="BodyText"/>
      </w:pPr>
      <w:r w:rsidRPr="00B858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C14D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858AB" w:rsidP="009B2454">
      <w:pPr>
        <w:pStyle w:val="BodyText"/>
        <w:sectPr w:rsidSect="00B858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58AB" w:rsidP="00B858AB">
      <w:pPr>
        <w:pStyle w:val="SuperHeading"/>
      </w:pPr>
      <w:r w:rsidRPr="00B858AB">
        <w:t>Assessment Requirements for MSFDG3001 Protect leadlight and stained glass</w:t>
      </w:r>
    </w:p>
    <w:p w:rsidR="00000000" w:rsidRPr="00B858AB" w:rsidP="00B858AB">
      <w:pPr>
        <w:pStyle w:val="Heading1"/>
      </w:pPr>
      <w:bookmarkStart w:id="9" w:name="O_1014425"/>
      <w:bookmarkEnd w:id="9"/>
      <w:r w:rsidRPr="00B858AB">
        <w:t>Modification History</w:t>
      </w:r>
    </w:p>
    <w:p w:rsidR="00000000" w:rsidRPr="00B858AB" w:rsidP="009B2454">
      <w:pPr>
        <w:pStyle w:val="BodyText"/>
      </w:pPr>
      <w:r w:rsidRPr="00B858AB">
        <w:t>Release 1. Supersedes and is equivalent to MSFSL3002 Protect stained glass and leadlighting.</w:t>
      </w:r>
    </w:p>
    <w:p w:rsidR="00000000" w:rsidRPr="00B858AB" w:rsidP="00B858AB">
      <w:pPr>
        <w:pStyle w:val="Heading1"/>
      </w:pPr>
      <w:bookmarkStart w:id="10" w:name="O_1014428"/>
      <w:bookmarkEnd w:id="10"/>
      <w:r w:rsidRPr="00B858AB">
        <w:t>Performance Evidence</w:t>
      </w:r>
    </w:p>
    <w:p w:rsidR="00000000" w:rsidRPr="00B858AB" w:rsidP="009B2454">
      <w:pPr>
        <w:pStyle w:val="BodyText"/>
      </w:pPr>
      <w:r w:rsidRPr="00B858AB">
        <w:t>There mus</w:t>
      </w:r>
      <w:r w:rsidRPr="00B858AB">
        <w:t xml:space="preserve">t be evidence the candidate has completed the tasks outlined in the elements and performance criteria of this unit, and: </w:t>
      </w:r>
    </w:p>
    <w:p w:rsidR="009B2454" w:rsidP="00B858AB">
      <w:pPr>
        <w:pStyle w:val="ListBullet"/>
      </w:pPr>
      <w:r w:rsidRPr="00B858AB">
        <w:t>protected 2 different leadlight and stained glass components in-situ using at least 2 different methods and/or techniques.</w:t>
      </w:r>
    </w:p>
    <w:p w:rsidR="009B2454" w:rsidP="00B858AB">
      <w:pPr>
        <w:pStyle w:val="ListBullet"/>
      </w:pPr>
    </w:p>
    <w:p w:rsidR="00000000" w:rsidRPr="00B858AB" w:rsidP="00B858AB">
      <w:pPr>
        <w:pStyle w:val="Heading1"/>
      </w:pPr>
      <w:bookmarkStart w:id="11" w:name="O_1014427"/>
      <w:bookmarkEnd w:id="11"/>
      <w:r w:rsidRPr="00B858AB">
        <w:t>Knowledge Evidence</w:t>
      </w:r>
    </w:p>
    <w:p w:rsidR="00000000" w:rsidRPr="00B858AB" w:rsidP="009B2454">
      <w:pPr>
        <w:pStyle w:val="BodyText"/>
      </w:pPr>
      <w:r w:rsidRPr="00B858AB">
        <w:t>There must be evidence the candidate has knowledge of:</w:t>
      </w:r>
    </w:p>
    <w:p w:rsidR="00000000" w:rsidRPr="00B858AB" w:rsidP="00B858AB">
      <w:pPr>
        <w:pStyle w:val="ListBullet"/>
      </w:pPr>
      <w:r w:rsidRPr="00B858AB">
        <w:t xml:space="preserve">state or territory work health and safety legislation, regulations, standards and codes of practice relevant </w:t>
      </w:r>
      <w:r w:rsidRPr="00B858AB">
        <w:t>to the full range of processes for leadlight and stained glass operations</w:t>
      </w:r>
    </w:p>
    <w:p w:rsidR="00000000" w:rsidRPr="00B858AB" w:rsidP="00B858AB">
      <w:pPr>
        <w:pStyle w:val="ListBullet"/>
      </w:pPr>
      <w:r w:rsidRPr="00B858AB">
        <w:t>leadlight and stained glass protection terminology and techniques</w:t>
      </w:r>
    </w:p>
    <w:p w:rsidR="00000000" w:rsidRPr="00B858AB" w:rsidP="00B858AB">
      <w:pPr>
        <w:pStyle w:val="ListBullet"/>
      </w:pPr>
      <w:r w:rsidRPr="00B858AB">
        <w:t>organisational and site standards, requirements, policies and procedures for the protection of leadlight and stained</w:t>
      </w:r>
      <w:r w:rsidRPr="00B858AB">
        <w:t xml:space="preserve"> glass </w:t>
      </w:r>
    </w:p>
    <w:p w:rsidR="00000000" w:rsidRPr="00B858AB" w:rsidP="00B858AB">
      <w:pPr>
        <w:pStyle w:val="ListBullet"/>
      </w:pPr>
      <w:r w:rsidRPr="00B858AB">
        <w:t>types of glass and other materials used in the leadlight and stained glass industry, their characteristics, properties, uses and limitations</w:t>
      </w:r>
    </w:p>
    <w:p w:rsidR="00000000" w:rsidRPr="00B858AB" w:rsidP="00B858AB">
      <w:pPr>
        <w:pStyle w:val="ListBullet"/>
      </w:pPr>
      <w:r w:rsidRPr="00B858AB">
        <w:t>protection methods, their properties, uses and limitations</w:t>
      </w:r>
    </w:p>
    <w:p w:rsidR="00000000" w:rsidRPr="00B858AB" w:rsidP="00B858AB">
      <w:pPr>
        <w:pStyle w:val="ListBullet"/>
      </w:pPr>
      <w:r w:rsidRPr="00B858AB">
        <w:t xml:space="preserve">characteristics and properties of materials used in the protection of leadlight and stained glass </w:t>
      </w:r>
    </w:p>
    <w:p w:rsidR="00000000" w:rsidRPr="00B858AB" w:rsidP="00B858AB">
      <w:pPr>
        <w:pStyle w:val="ListBullet"/>
      </w:pPr>
      <w:r w:rsidRPr="00B858AB">
        <w:t>environmental protection requirements relating to the disposal of waste material</w:t>
      </w:r>
    </w:p>
    <w:p w:rsidR="00000000" w:rsidRPr="00B858AB" w:rsidP="00B858AB">
      <w:pPr>
        <w:pStyle w:val="ListBullet"/>
      </w:pPr>
      <w:r w:rsidRPr="00B858AB">
        <w:t>problem identification and resolution</w:t>
      </w:r>
    </w:p>
    <w:p w:rsidR="00000000" w:rsidRPr="00B858AB" w:rsidP="00B858AB">
      <w:pPr>
        <w:pStyle w:val="ListBullet"/>
      </w:pPr>
      <w:r w:rsidRPr="00B858AB">
        <w:t>procedures for the recording, reportin</w:t>
      </w:r>
      <w:r w:rsidRPr="00B858AB">
        <w:t>g and maintenance of workplace records and information</w:t>
      </w:r>
    </w:p>
    <w:p w:rsidR="009B2454" w:rsidP="00B858AB">
      <w:pPr>
        <w:pStyle w:val="ListBullet"/>
      </w:pPr>
      <w:r w:rsidRPr="00B858AB">
        <w:t>mathematical procedures for estimation and measurement.</w:t>
      </w:r>
    </w:p>
    <w:p w:rsidR="009B2454" w:rsidP="00B858AB">
      <w:pPr>
        <w:pStyle w:val="ListBullet"/>
      </w:pPr>
    </w:p>
    <w:p w:rsidR="00000000" w:rsidRPr="00B858AB" w:rsidP="00B858AB">
      <w:pPr>
        <w:pStyle w:val="Heading1"/>
      </w:pPr>
      <w:bookmarkStart w:id="12" w:name="O_1014426"/>
      <w:bookmarkEnd w:id="12"/>
      <w:r w:rsidRPr="00B858AB">
        <w:t>Assessment Conditions</w:t>
      </w:r>
    </w:p>
    <w:p w:rsidR="00000000" w:rsidRPr="00B858AB" w:rsidP="009B2454">
      <w:pPr>
        <w:pStyle w:val="BodyText"/>
      </w:pPr>
      <w:r w:rsidRPr="00B858AB">
        <w:t>Skills must have been demonstrated in the workplace or in a simulated environment that reflects workpla</w:t>
      </w:r>
      <w:r w:rsidRPr="00B858AB">
        <w:t xml:space="preserve">ce conditions and contingencies. The following conditions must be met for this unit: </w:t>
      </w:r>
    </w:p>
    <w:p w:rsidR="00000000" w:rsidRPr="00B858AB" w:rsidP="00B858AB">
      <w:pPr>
        <w:pStyle w:val="ListBullet"/>
      </w:pPr>
      <w:r w:rsidRPr="00B858AB">
        <w:t xml:space="preserve">use of suitable facilities, equipment and resources, including: </w:t>
      </w:r>
    </w:p>
    <w:p w:rsidR="00000000" w:rsidRPr="00B858AB" w:rsidP="00B858AB">
      <w:pPr>
        <w:pStyle w:val="ListBullet2"/>
      </w:pPr>
      <w:r w:rsidRPr="00B858AB">
        <w:t>stained glass and leadlight for protection</w:t>
      </w:r>
    </w:p>
    <w:p w:rsidR="00000000" w:rsidRPr="00B858AB" w:rsidP="00B858AB">
      <w:pPr>
        <w:pStyle w:val="ListBullet2"/>
      </w:pPr>
      <w:r w:rsidRPr="00B858AB">
        <w:t>tools and equipment to complete tasks in the Performance Evidence</w:t>
      </w:r>
    </w:p>
    <w:p w:rsidR="00000000" w:rsidRPr="00B858AB" w:rsidP="00B858AB">
      <w:pPr>
        <w:pStyle w:val="ListBullet2"/>
      </w:pPr>
      <w:r w:rsidRPr="00B858AB">
        <w:t>workplace procedures.</w:t>
      </w:r>
    </w:p>
    <w:p w:rsidR="009B2454" w:rsidP="009B2454">
      <w:pPr>
        <w:pStyle w:val="BodyText"/>
      </w:pPr>
      <w:r w:rsidRPr="00B858AB">
        <w:t>Assessors must satisfy the NVR/AQTF mandatory competency requirements for assessors.</w:t>
      </w:r>
    </w:p>
    <w:p w:rsidR="00000000" w:rsidRPr="00B858AB" w:rsidP="00B858AB">
      <w:pPr>
        <w:pStyle w:val="Heading1"/>
      </w:pPr>
      <w:bookmarkStart w:id="13" w:name="O_1014424"/>
      <w:bookmarkEnd w:id="13"/>
      <w:r w:rsidRPr="00B858AB">
        <w:t>Links</w:t>
      </w:r>
    </w:p>
    <w:p w:rsidR="00000000" w:rsidRPr="00B858AB" w:rsidP="009B2454">
      <w:pPr>
        <w:pStyle w:val="BodyText"/>
      </w:pPr>
      <w:r w:rsidRPr="00B858AB">
        <w:t>Companion Volume implementation guides are found in VETNe</w:t>
      </w:r>
      <w:r w:rsidRPr="00B858AB">
        <w:t xml:space="preserve">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C14D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858AB" w:rsidP="00B858AB"/>
    <w:sectPr w:rsidSect="00B858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8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8AB" w:rsidRPr="009B2454" w:rsidP="009B24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8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454" w:rsidP="00B858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2454" w:rsidP="00B858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B2454" w:rsidP="00B858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8AB" w:rsidP="00B858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2454">
      <w:t>Approved</w:t>
    </w:r>
    <w:r w:rsidR="009B24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245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2454">
      <w:rPr>
        <w:noProof/>
      </w:rPr>
      <w:t>4</w:t>
    </w:r>
    <w:r>
      <w:rPr>
        <w:noProof/>
      </w:rPr>
      <w:fldChar w:fldCharType="end"/>
    </w:r>
  </w:p>
  <w:p w:rsidR="00B858AB" w:rsidP="00B858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24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2454">
      <w:t>Skills Insight</w:t>
    </w:r>
    <w:r w:rsidR="009B2454">
      <w:fldChar w:fldCharType="end"/>
    </w:r>
  </w:p>
  <w:p w:rsidR="00B858AB" w:rsidP="00B858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8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4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58AB" w:rsidRPr="009B2454" w:rsidP="009B24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8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454" w:rsidRPr="002D2AF8" w:rsidP="00B858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MSFDG3001 Protect leadlight and stained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B2454" w:rsidP="00B858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8AB" w:rsidRPr="002D2AF8" w:rsidP="00B858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2454">
      <w:t>MSFDG3001 Protect leadlight and stained glass</w:t>
    </w:r>
    <w:r w:rsidR="009B24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2454">
      <w:rPr>
        <w:noProof/>
      </w:rPr>
      <w:t>2 March 2025</w:t>
    </w:r>
    <w:r>
      <w:fldChar w:fldCharType="end"/>
    </w:r>
  </w:p>
  <w:p w:rsidR="00B858AB" w:rsidP="00B858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02D1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20DB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A6D1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8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58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58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58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58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58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58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58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58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58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58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58AB"/>
  </w:style>
  <w:style w:type="character" w:customStyle="1" w:styleId="Heading1Char">
    <w:name w:val="Heading 1 Char"/>
    <w:basedOn w:val="DefaultParagraphFont"/>
    <w:link w:val="Heading1"/>
    <w:rsid w:val="00B858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58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58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58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58AB"/>
    <w:rPr>
      <w:b/>
      <w:spacing w:val="0"/>
    </w:rPr>
  </w:style>
  <w:style w:type="paragraph" w:styleId="ListBullet2">
    <w:name w:val="List Bullet 2"/>
    <w:basedOn w:val="List2"/>
    <w:rsid w:val="00B858A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858AB"/>
    <w:rPr>
      <w:i/>
    </w:rPr>
  </w:style>
  <w:style w:type="paragraph" w:customStyle="1" w:styleId="SuperHeading">
    <w:name w:val="SuperHeading"/>
    <w:basedOn w:val="Normal"/>
    <w:rsid w:val="00B858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58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58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58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58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58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58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58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58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58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58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58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58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58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58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58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58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58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58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58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58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58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58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58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58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58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58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58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58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58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58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58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58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58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58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58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58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58AB"/>
  </w:style>
  <w:style w:type="paragraph" w:styleId="TableofFigures">
    <w:name w:val="table of figures"/>
    <w:basedOn w:val="Normal"/>
    <w:next w:val="Normal"/>
    <w:semiHidden/>
    <w:rsid w:val="00B858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58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58AB"/>
    <w:rPr>
      <w:rFonts w:ascii="Wingdings" w:hAnsi="Wingdings"/>
    </w:rPr>
  </w:style>
  <w:style w:type="paragraph" w:customStyle="1" w:styleId="TableHeading">
    <w:name w:val="Table Heading"/>
    <w:basedOn w:val="HeadingBase"/>
    <w:rsid w:val="00B858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58AB"/>
    <w:rPr>
      <w:color w:val="0033CC"/>
      <w:u w:val="none"/>
    </w:rPr>
  </w:style>
  <w:style w:type="paragraph" w:customStyle="1" w:styleId="BodyTextRight">
    <w:name w:val="Body Text Right"/>
    <w:basedOn w:val="BodyText"/>
    <w:rsid w:val="00B858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58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58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58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58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58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58AB"/>
    <w:rPr>
      <w:sz w:val="32"/>
    </w:rPr>
  </w:style>
  <w:style w:type="paragraph" w:customStyle="1" w:styleId="HeadingProcedure">
    <w:name w:val="Heading Procedure"/>
    <w:basedOn w:val="HeadingBase"/>
    <w:next w:val="Normal"/>
    <w:rsid w:val="00B858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58AB"/>
    <w:pPr>
      <w:spacing w:before="60" w:after="60"/>
    </w:pPr>
  </w:style>
  <w:style w:type="paragraph" w:styleId="ListContinue">
    <w:name w:val="List Continue"/>
    <w:basedOn w:val="List"/>
    <w:rsid w:val="00B858AB"/>
    <w:pPr>
      <w:ind w:firstLine="0"/>
    </w:pPr>
  </w:style>
  <w:style w:type="paragraph" w:customStyle="1" w:styleId="ListNote">
    <w:name w:val="List Note"/>
    <w:basedOn w:val="List"/>
    <w:rsid w:val="00B858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58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58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58AB"/>
    <w:rPr>
      <w:rFonts w:ascii="Courier New" w:hAnsi="Courier New"/>
    </w:rPr>
  </w:style>
  <w:style w:type="paragraph" w:customStyle="1" w:styleId="NoteBullet">
    <w:name w:val="Note Bullet"/>
    <w:basedOn w:val="Note"/>
    <w:rsid w:val="00B858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58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58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58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58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58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58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58AB"/>
    <w:rPr>
      <w:b/>
      <w:smallCaps/>
    </w:rPr>
  </w:style>
  <w:style w:type="paragraph" w:customStyle="1" w:styleId="TableListNumber">
    <w:name w:val="Table List Number"/>
    <w:basedOn w:val="ListNumber"/>
    <w:rsid w:val="00B858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58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58AB"/>
    <w:pPr>
      <w:numPr>
        <w:numId w:val="9"/>
      </w:numPr>
    </w:pPr>
  </w:style>
  <w:style w:type="paragraph" w:customStyle="1" w:styleId="ListAlpha2">
    <w:name w:val="List Alpha 2"/>
    <w:basedOn w:val="List2"/>
    <w:rsid w:val="00B858AB"/>
    <w:pPr>
      <w:numPr>
        <w:numId w:val="8"/>
      </w:numPr>
    </w:pPr>
  </w:style>
  <w:style w:type="paragraph" w:styleId="List2">
    <w:name w:val="List 2"/>
    <w:basedOn w:val="BodyText"/>
    <w:rsid w:val="00B858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58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58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58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58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58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58AB"/>
    <w:pPr>
      <w:numPr>
        <w:numId w:val="4"/>
      </w:numPr>
    </w:pPr>
  </w:style>
  <w:style w:type="paragraph" w:styleId="ListContinue2">
    <w:name w:val="List Continue 2"/>
    <w:basedOn w:val="List2"/>
    <w:rsid w:val="00B858AB"/>
    <w:pPr>
      <w:ind w:firstLine="0"/>
    </w:pPr>
  </w:style>
  <w:style w:type="paragraph" w:styleId="ListContinue3">
    <w:name w:val="List Continue 3"/>
    <w:basedOn w:val="List3"/>
    <w:rsid w:val="00B858AB"/>
    <w:pPr>
      <w:ind w:left="1021" w:firstLine="0"/>
    </w:pPr>
  </w:style>
  <w:style w:type="paragraph" w:styleId="ListContinue4">
    <w:name w:val="List Continue 4"/>
    <w:basedOn w:val="List4"/>
    <w:rsid w:val="00B858AB"/>
    <w:pPr>
      <w:ind w:firstLine="0"/>
    </w:pPr>
  </w:style>
  <w:style w:type="paragraph" w:styleId="ListContinue5">
    <w:name w:val="List Continue 5"/>
    <w:basedOn w:val="List5"/>
    <w:rsid w:val="00B858AB"/>
    <w:pPr>
      <w:ind w:firstLine="0"/>
    </w:pPr>
  </w:style>
  <w:style w:type="paragraph" w:styleId="ListNumber3">
    <w:name w:val="List Number 3"/>
    <w:basedOn w:val="List3"/>
    <w:rsid w:val="00B858AB"/>
    <w:pPr>
      <w:numPr>
        <w:numId w:val="5"/>
      </w:numPr>
    </w:pPr>
  </w:style>
  <w:style w:type="paragraph" w:styleId="ListNumber4">
    <w:name w:val="List Number 4"/>
    <w:basedOn w:val="List4"/>
    <w:rsid w:val="00B858AB"/>
    <w:pPr>
      <w:numPr>
        <w:numId w:val="6"/>
      </w:numPr>
    </w:pPr>
  </w:style>
  <w:style w:type="paragraph" w:styleId="ListNumber5">
    <w:name w:val="List Number 5"/>
    <w:basedOn w:val="List5"/>
    <w:rsid w:val="00B858AB"/>
    <w:pPr>
      <w:numPr>
        <w:numId w:val="7"/>
      </w:numPr>
    </w:pPr>
  </w:style>
  <w:style w:type="paragraph" w:styleId="BlockText">
    <w:name w:val="Block Text"/>
    <w:basedOn w:val="Normal"/>
    <w:rsid w:val="00B858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58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58AB"/>
    <w:rPr>
      <w:sz w:val="16"/>
      <w:vertAlign w:val="superscript"/>
    </w:rPr>
  </w:style>
  <w:style w:type="character" w:customStyle="1" w:styleId="Symbols">
    <w:name w:val="Symbols"/>
    <w:basedOn w:val="DefaultParagraphFont"/>
    <w:rsid w:val="00B858AB"/>
    <w:rPr>
      <w:rFonts w:ascii="Symbol" w:hAnsi="Symbol"/>
    </w:rPr>
  </w:style>
  <w:style w:type="character" w:customStyle="1" w:styleId="MenuOptions">
    <w:name w:val="Menu Options"/>
    <w:basedOn w:val="DefaultParagraphFont"/>
    <w:rsid w:val="00B858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58AB"/>
    <w:rPr>
      <w:b/>
    </w:rPr>
  </w:style>
  <w:style w:type="character" w:customStyle="1" w:styleId="Underlined">
    <w:name w:val="Underlined"/>
    <w:basedOn w:val="DefaultParagraphFont"/>
    <w:rsid w:val="00B858AB"/>
    <w:rPr>
      <w:u w:val="single"/>
    </w:rPr>
  </w:style>
  <w:style w:type="paragraph" w:customStyle="1" w:styleId="TableBodyTextRight">
    <w:name w:val="Table Body Text Right"/>
    <w:basedOn w:val="TableBodyText"/>
    <w:rsid w:val="00B858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58AB"/>
    <w:rPr>
      <w:sz w:val="18"/>
    </w:rPr>
  </w:style>
  <w:style w:type="paragraph" w:customStyle="1" w:styleId="BodySmallRight">
    <w:name w:val="Body Small Right"/>
    <w:basedOn w:val="BodyTextRight"/>
    <w:rsid w:val="00B858AB"/>
    <w:rPr>
      <w:sz w:val="18"/>
      <w:szCs w:val="18"/>
    </w:rPr>
  </w:style>
  <w:style w:type="paragraph" w:customStyle="1" w:styleId="MarginEdition">
    <w:name w:val="Margin Edition"/>
    <w:basedOn w:val="MarginNote"/>
    <w:rsid w:val="00B858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58AB"/>
    <w:rPr>
      <w:sz w:val="2"/>
      <w:szCs w:val="2"/>
    </w:rPr>
  </w:style>
  <w:style w:type="character" w:customStyle="1" w:styleId="Small">
    <w:name w:val="Small"/>
    <w:basedOn w:val="DefaultParagraphFont"/>
    <w:rsid w:val="00B858AB"/>
    <w:rPr>
      <w:sz w:val="16"/>
    </w:rPr>
  </w:style>
  <w:style w:type="paragraph" w:customStyle="1" w:styleId="WideTable">
    <w:name w:val="Wide Table"/>
    <w:basedOn w:val="Normal"/>
    <w:rsid w:val="00B858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58AB"/>
  </w:style>
  <w:style w:type="paragraph" w:styleId="Quote">
    <w:name w:val="Quote"/>
    <w:basedOn w:val="Heading1"/>
    <w:link w:val="QuoteChar"/>
    <w:qFormat/>
    <w:rsid w:val="00B858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58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58AB"/>
    <w:pPr>
      <w:pageBreakBefore/>
    </w:pPr>
  </w:style>
  <w:style w:type="paragraph" w:customStyle="1" w:styleId="Border">
    <w:name w:val="Border"/>
    <w:basedOn w:val="Normal"/>
    <w:qFormat/>
    <w:rsid w:val="00B858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58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8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8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58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58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58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58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58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58AB"/>
    <w:rPr>
      <w:u w:val="single"/>
    </w:rPr>
  </w:style>
  <w:style w:type="character" w:customStyle="1" w:styleId="BoldandItalics">
    <w:name w:val="Bold and Italics"/>
    <w:qFormat/>
    <w:rsid w:val="00B858AB"/>
    <w:rPr>
      <w:b/>
      <w:i/>
      <w:u w:val="none"/>
    </w:rPr>
  </w:style>
  <w:style w:type="paragraph" w:styleId="BalloonText">
    <w:name w:val="Balloon Text"/>
    <w:basedOn w:val="Normal"/>
    <w:link w:val="BalloonTextChar"/>
    <w:rsid w:val="00B858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58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58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58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58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58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58AB"/>
    <w:pPr>
      <w:spacing w:before="0" w:after="0"/>
    </w:pPr>
  </w:style>
  <w:style w:type="paragraph" w:customStyle="1" w:styleId="BodyTextBold">
    <w:name w:val="Body Text Bold"/>
    <w:basedOn w:val="BodyText"/>
    <w:qFormat/>
    <w:rsid w:val="00B858AB"/>
    <w:rPr>
      <w:b/>
    </w:rPr>
  </w:style>
  <w:style w:type="character" w:styleId="Hyperlink">
    <w:name w:val="Hyperlink"/>
    <w:basedOn w:val="DefaultParagraphFont"/>
    <w:uiPriority w:val="99"/>
    <w:unhideWhenUsed/>
    <w:rsid w:val="009B24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644</Words>
  <Characters>4192</Characters>
  <Application>Microsoft Office Word</Application>
  <DocSecurity>0</DocSecurity>
  <Lines>119</Lines>
  <Paragraphs>80</Paragraphs>
  <ScaleCrop>false</ScaleCrop>
  <Company>Author-it Software Corporation Ltd.</Company>
  <LinksUpToDate>false</LinksUpToDate>
  <CharactersWithSpaces>4756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MSFDG3001 Protect leadlight and stained glass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2025-03-02T01:27:00Z</dcterms:created>
  <dcterms:modified xsi:type="dcterms:W3CDTF">2025-03-02T01:27:00Z</dcterms:modified>
</cp:coreProperties>
</file>