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C40" w:rsidP="00EC5C40">
      <w:pPr>
        <w:pStyle w:val="Title"/>
      </w:pPr>
      <w:r>
        <w:fldChar w:fldCharType="begin"/>
      </w:r>
      <w:r>
        <w:instrText xml:space="preserve"> TITLE   \* MERGEFORMAT </w:instrText>
      </w:r>
      <w:r>
        <w:fldChar w:fldCharType="separate"/>
      </w:r>
      <w:r>
        <w:t>MSFBA3010 Assess suitability of blinds or awnings</w:t>
      </w:r>
      <w:r>
        <w:fldChar w:fldCharType="end"/>
      </w:r>
    </w:p>
    <w:p w:rsidR="00EC5C40" w:rsidP="00EC5C40">
      <w:pPr>
        <w:pStyle w:val="Version"/>
        <w:sectPr w:rsidSect="00B00F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FAA" w:rsidP="00B00FAA">
      <w:pPr>
        <w:pStyle w:val="SuperHeading"/>
      </w:pPr>
      <w:r w:rsidRPr="00B00FAA">
        <w:t>MSFBA3010 Assess suitability of blinds or awnings</w:t>
      </w:r>
    </w:p>
    <w:p w:rsidR="00000000" w:rsidRPr="00B00FAA" w:rsidP="00B00FAA">
      <w:pPr>
        <w:pStyle w:val="Heading1"/>
      </w:pPr>
      <w:bookmarkStart w:id="1" w:name="O_630294"/>
      <w:bookmarkEnd w:id="1"/>
      <w:r w:rsidRPr="00B00FAA">
        <w:t>Modification History</w:t>
      </w:r>
    </w:p>
    <w:p w:rsidR="00000000" w:rsidRPr="00B00FAA" w:rsidP="00B00FAA">
      <w:pPr>
        <w:pStyle w:val="BodyText"/>
      </w:pPr>
      <w:r w:rsidRPr="00B00FAA">
        <w:t>Release 1 - New unit of competency</w:t>
      </w:r>
    </w:p>
    <w:p w:rsidR="00000000" w:rsidRPr="00B00FAA" w:rsidP="00B00FAA">
      <w:pPr>
        <w:pStyle w:val="AllowPageBreak"/>
      </w:pPr>
    </w:p>
    <w:p w:rsidR="00000000" w:rsidRPr="00B00FAA" w:rsidP="00B00FAA">
      <w:pPr>
        <w:pStyle w:val="Heading1"/>
      </w:pPr>
      <w:bookmarkStart w:id="2" w:name="O_630302"/>
      <w:bookmarkEnd w:id="2"/>
      <w:r w:rsidRPr="00B00FAA">
        <w:t>Application</w:t>
      </w:r>
    </w:p>
    <w:p w:rsidR="00000000" w:rsidRPr="00B00FAA" w:rsidP="00B00FAA">
      <w:pPr>
        <w:pStyle w:val="BodyText"/>
      </w:pPr>
      <w:r w:rsidRPr="00B00FAA">
        <w:t>This unit of competency covers assessing the suitability of blinds and awnings in a range of environments taking into account building structure, natural environme</w:t>
      </w:r>
      <w:r w:rsidRPr="00B00FAA">
        <w:t>ntal constraints, regulations and legislation. It applies in a workplace and on-site residential and commercial environments and may be conducted in small to large scale enterprises.</w:t>
      </w:r>
    </w:p>
    <w:p w:rsidR="00000000" w:rsidRPr="00B00FAA" w:rsidP="00B00FAA">
      <w:pPr>
        <w:pStyle w:val="BodyText"/>
      </w:pPr>
    </w:p>
    <w:p w:rsidR="00EC5C40" w:rsidP="00B00FAA">
      <w:pPr>
        <w:pStyle w:val="BodyText"/>
      </w:pPr>
      <w:r w:rsidRPr="00B00FAA">
        <w:t>No licensing, legislative or certification requirements apply to this un</w:t>
      </w:r>
      <w:r w:rsidRPr="00B00FAA">
        <w:t>it at the time of publication.</w:t>
      </w:r>
    </w:p>
    <w:p w:rsidR="00EC5C40" w:rsidP="00B00FAA">
      <w:pPr>
        <w:pStyle w:val="BodyText"/>
      </w:pPr>
    </w:p>
    <w:p w:rsidR="00000000" w:rsidRPr="00B00FAA" w:rsidP="00B00FAA">
      <w:pPr>
        <w:pStyle w:val="Heading1"/>
      </w:pPr>
      <w:bookmarkStart w:id="3" w:name="O_630301"/>
      <w:bookmarkEnd w:id="3"/>
      <w:r w:rsidRPr="00B00FAA">
        <w:t>Pre-requisite Unit</w:t>
      </w:r>
    </w:p>
    <w:p w:rsidR="00000000" w:rsidRPr="00B00FAA" w:rsidP="00B00FAA">
      <w:pPr>
        <w:pStyle w:val="Heading1"/>
      </w:pPr>
      <w:bookmarkStart w:id="4" w:name="O_630300"/>
      <w:bookmarkEnd w:id="4"/>
      <w:r w:rsidRPr="00B00FAA">
        <w:t>Competency Field</w:t>
      </w:r>
    </w:p>
    <w:p w:rsidR="00000000" w:rsidRPr="00B00FAA" w:rsidP="00B00FAA">
      <w:pPr>
        <w:pStyle w:val="Heading1"/>
      </w:pPr>
      <w:bookmarkStart w:id="5" w:name="O_630299"/>
      <w:bookmarkEnd w:id="5"/>
      <w:r w:rsidRPr="00B00FAA">
        <w:t>Unit Sector</w:t>
      </w:r>
    </w:p>
    <w:p w:rsidR="00000000" w:rsidRPr="00B00FAA" w:rsidP="00B00FAA">
      <w:pPr>
        <w:pStyle w:val="BodyText"/>
      </w:pPr>
      <w:r w:rsidRPr="00B00FAA">
        <w:t>Blinds and awnings</w:t>
      </w:r>
    </w:p>
    <w:p w:rsidR="00000000" w:rsidRPr="00B00FAA" w:rsidP="00B00FAA">
      <w:pPr>
        <w:pStyle w:val="AllowPageBreak"/>
      </w:pPr>
    </w:p>
    <w:p w:rsidR="00000000" w:rsidRPr="00B00FAA" w:rsidP="00B00FAA">
      <w:pPr>
        <w:pStyle w:val="Heading1"/>
      </w:pPr>
      <w:bookmarkStart w:id="6" w:name="O_630298"/>
      <w:bookmarkEnd w:id="6"/>
      <w:r w:rsidRPr="00B00FA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00FAA">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Performance cr</w:t>
            </w:r>
            <w:r w:rsidRPr="00B00FAA">
              <w:t>iteria describe the performance needed to demonstrate achievement of the element.</w:t>
            </w:r>
          </w:p>
        </w:tc>
      </w:tr>
      <w:tr w:rsidTr="00B00FAA">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1</w:t>
            </w:r>
          </w:p>
        </w:tc>
        <w:tc>
          <w:tcPr>
            <w:tcW w:w="1986" w:type="dxa"/>
            <w:vMerge w:val="restart"/>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Develop and maintain knowledge of products</w:t>
            </w: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1.1</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Characteristics of blind and awnings products and components are recognised</w:t>
            </w:r>
          </w:p>
        </w:tc>
      </w:tr>
      <w:tr w:rsidTr="00B00FAA">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1.2</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Sample materials, products and visual aids are collected and organised for use in presentations</w:t>
            </w:r>
          </w:p>
        </w:tc>
      </w:tr>
      <w:tr w:rsidTr="00B00FAA">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1.3</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Building styles, building codes, regulations and legislation are recognised</w:t>
            </w:r>
          </w:p>
        </w:tc>
      </w:tr>
      <w:tr w:rsidTr="00B00FAA">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2</w:t>
            </w:r>
          </w:p>
        </w:tc>
        <w:tc>
          <w:tcPr>
            <w:tcW w:w="1986" w:type="dxa"/>
            <w:vMerge w:val="restart"/>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 xml:space="preserve">Assess suitability of customer requirements for building and </w:t>
            </w:r>
            <w:r w:rsidRPr="00B00FAA">
              <w:t>location</w:t>
            </w: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2.1</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Questioning and active listening techniques are used to identify and clarify customer needs and requirements</w:t>
            </w:r>
          </w:p>
        </w:tc>
      </w:tr>
      <w:tr w:rsidTr="00B00FAA">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2.2</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 xml:space="preserve">Location for product is inspected observing work health </w:t>
            </w:r>
            <w:r w:rsidRPr="00B00FAA">
              <w:t>and safety (WHS) requirements</w:t>
            </w:r>
          </w:p>
        </w:tc>
      </w:tr>
      <w:tr w:rsidTr="00B00FAA">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2.3</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Restrictions and limita</w:t>
            </w:r>
            <w:r w:rsidRPr="00B00FAA">
              <w:t>tions of building and natural environment are assessed</w:t>
            </w:r>
          </w:p>
        </w:tc>
      </w:tr>
      <w:tr w:rsidTr="00B00FAA">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2.4</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Restrictions and limitations of blinds and awnings are assessed</w:t>
            </w:r>
          </w:p>
        </w:tc>
      </w:tr>
      <w:tr w:rsidTr="00B00FAA">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3</w:t>
            </w:r>
          </w:p>
        </w:tc>
        <w:tc>
          <w:tcPr>
            <w:tcW w:w="1986" w:type="dxa"/>
            <w:vMerge w:val="restart"/>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Provide advice to customer following assessment</w:t>
            </w: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3.1</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Characteristics of products are explained using sample materials, visual ai</w:t>
            </w:r>
            <w:r w:rsidRPr="00B00FAA">
              <w:t>ds and product specifications</w:t>
            </w:r>
          </w:p>
        </w:tc>
      </w:tr>
      <w:tr w:rsidTr="00B00FAA">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3.2</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Building covenant and other regulations and legislative requirements are explained to the customer</w:t>
            </w:r>
          </w:p>
        </w:tc>
      </w:tr>
      <w:tr w:rsidTr="00B00FAA">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3.3</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Range of styles and materials are presented to the customer for evaluation</w:t>
            </w:r>
          </w:p>
        </w:tc>
      </w:tr>
      <w:tr w:rsidTr="00B00FAA">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3.4</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Customer queries are discussed and responded to using examples to illustrate advice on finished products</w:t>
            </w:r>
          </w:p>
        </w:tc>
      </w:tr>
      <w:tr w:rsidTr="00B00FAA">
        <w:tblPrEx>
          <w:tblW w:w="0" w:type="auto"/>
          <w:tblLayout w:type="fixed"/>
          <w:tblCellMar>
            <w:left w:w="62" w:type="dxa"/>
            <w:right w:w="62" w:type="dxa"/>
          </w:tblCellMar>
          <w:tblLook w:val="0000"/>
        </w:tblPrEx>
        <w:tc>
          <w:tcPr>
            <w:tcW w:w="686" w:type="dxa"/>
            <w:vMerge w:val="restart"/>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4</w:t>
            </w:r>
          </w:p>
        </w:tc>
        <w:tc>
          <w:tcPr>
            <w:tcW w:w="1986" w:type="dxa"/>
            <w:vMerge w:val="restart"/>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Finalise assessment</w:t>
            </w: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4.1</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Sample products are returned to storage</w:t>
            </w:r>
          </w:p>
        </w:tc>
      </w:tr>
      <w:tr w:rsidTr="00B00FAA">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4.2</w:t>
            </w:r>
          </w:p>
        </w:tc>
        <w:tc>
          <w:tcPr>
            <w:tcW w:w="5678"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Reports are prepared for the purpose of estimating and costing</w:t>
            </w:r>
          </w:p>
        </w:tc>
      </w:tr>
      <w:tr w:rsidTr="00B00FAA">
        <w:tblPrEx>
          <w:tblW w:w="0" w:type="auto"/>
          <w:tblLayout w:type="fixed"/>
          <w:tblCellMar>
            <w:left w:w="62" w:type="dxa"/>
            <w:right w:w="62" w:type="dxa"/>
          </w:tblCellMar>
          <w:tblLook w:val="0000"/>
        </w:tblPrEx>
        <w:tc>
          <w:tcPr>
            <w:tcW w:w="6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9"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4.3</w:t>
            </w:r>
          </w:p>
        </w:tc>
        <w:tc>
          <w:tcPr>
            <w:tcW w:w="5678" w:type="dxa"/>
            <w:tcBorders>
              <w:top w:val="nil"/>
              <w:left w:val="nil"/>
              <w:bottom w:val="nil"/>
              <w:right w:val="nil"/>
            </w:tcBorders>
            <w:tcMar>
              <w:top w:w="0" w:type="dxa"/>
              <w:left w:w="62" w:type="dxa"/>
              <w:bottom w:w="0" w:type="dxa"/>
              <w:right w:w="62" w:type="dxa"/>
            </w:tcMar>
          </w:tcPr>
          <w:p w:rsidR="00000000" w:rsidRPr="00B00FAA" w:rsidP="00B00FAA">
            <w:pPr>
              <w:pStyle w:val="BodyText"/>
            </w:pPr>
            <w:r w:rsidRPr="00B00FAA">
              <w:t>Relevant assessment and costing information is presented to customer</w:t>
            </w:r>
          </w:p>
        </w:tc>
      </w:tr>
    </w:tbl>
    <w:p w:rsidR="00EC5C40" w:rsidP="00B00FAA">
      <w:pPr>
        <w:pStyle w:val="BodyText"/>
      </w:pPr>
    </w:p>
    <w:p w:rsidR="00EC5C40" w:rsidP="00B00FAA">
      <w:pPr>
        <w:pStyle w:val="BodyText"/>
      </w:pPr>
    </w:p>
    <w:p w:rsidR="00000000" w:rsidRPr="00B00FAA" w:rsidP="00B00FAA">
      <w:pPr>
        <w:pStyle w:val="Heading1"/>
      </w:pPr>
      <w:bookmarkStart w:id="7" w:name="O_630297"/>
      <w:bookmarkEnd w:id="7"/>
      <w:r w:rsidRPr="00B00FAA">
        <w:t>Foundation Skills</w:t>
      </w:r>
    </w:p>
    <w:p w:rsidR="00EC5C40" w:rsidP="00B00FAA">
      <w:pPr>
        <w:pStyle w:val="BodyText"/>
      </w:pPr>
      <w:r w:rsidRPr="00B00FAA">
        <w:t xml:space="preserve">Foundation skills essential to performance are explicit in the performance criteria of this unit of competency. Detail on appropriate performance </w:t>
      </w:r>
      <w:r w:rsidRPr="00B00FAA">
        <w:t xml:space="preserve">levels for each furnishing unit of competency in reading, writing, oral communication and numeracy utilising the Australian Core Skills Framework (ACSF) are provided in the Furnishing Training Package Implementation Guide. </w:t>
      </w:r>
    </w:p>
    <w:p w:rsidR="00EC5C40" w:rsidP="00B00FAA">
      <w:pPr>
        <w:pStyle w:val="BodyText"/>
      </w:pPr>
    </w:p>
    <w:p w:rsidR="00000000" w:rsidRPr="00B00FAA" w:rsidP="00B00FAA">
      <w:pPr>
        <w:pStyle w:val="Heading1"/>
      </w:pPr>
      <w:bookmarkStart w:id="8" w:name="O_630296"/>
      <w:bookmarkEnd w:id="8"/>
      <w:r w:rsidRPr="00B00FAA">
        <w:t>Range of Condi</w:t>
      </w:r>
      <w:r w:rsidRPr="00B00FAA">
        <w:t>tions</w:t>
      </w:r>
    </w:p>
    <w:tbl>
      <w:tblPr>
        <w:tblW w:w="0" w:type="auto"/>
        <w:tblLayout w:type="fixed"/>
        <w:tblCellMar>
          <w:left w:w="62" w:type="dxa"/>
          <w:right w:w="62" w:type="dxa"/>
        </w:tblCellMar>
        <w:tblLook w:val="0000"/>
      </w:tblPr>
      <w:tblGrid>
        <w:gridCol w:w="2760"/>
        <w:gridCol w:w="6312"/>
      </w:tblGrid>
      <w:tr w:rsidTr="00B00F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B00FAA">
              <w:t>contexts) are included. Range is restricted to essential operating conditions and any other variables essential to the work environment.</w:t>
            </w:r>
          </w:p>
        </w:tc>
      </w:tr>
      <w:tr w:rsidTr="00B00F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rPr>
                <w:rStyle w:val="SpecialBold"/>
              </w:rPr>
              <w:t>Products and components include:</w:t>
            </w:r>
          </w:p>
        </w:tc>
        <w:tc>
          <w:tcPr>
            <w:tcW w:w="6312" w:type="dxa"/>
            <w:tcBorders>
              <w:top w:val="nil"/>
              <w:left w:val="nil"/>
              <w:bottom w:val="nil"/>
              <w:right w:val="nil"/>
            </w:tcBorders>
            <w:tcMar>
              <w:top w:w="0" w:type="dxa"/>
              <w:left w:w="62" w:type="dxa"/>
              <w:bottom w:w="0" w:type="dxa"/>
              <w:right w:w="62" w:type="dxa"/>
            </w:tcMar>
          </w:tcPr>
          <w:p w:rsidR="00000000" w:rsidRPr="00B00FAA" w:rsidP="00B00FAA">
            <w:pPr>
              <w:pStyle w:val="ListBullet"/>
            </w:pPr>
            <w:r w:rsidRPr="00B00FAA">
              <w:t>Holland-style blinds</w:t>
            </w:r>
          </w:p>
          <w:p w:rsidR="00000000" w:rsidRPr="00B00FAA" w:rsidP="00B00FAA">
            <w:pPr>
              <w:pStyle w:val="ListBullet"/>
            </w:pPr>
            <w:r w:rsidRPr="00B00FAA">
              <w:t>Roman-style blinds</w:t>
            </w:r>
          </w:p>
          <w:p w:rsidR="00000000" w:rsidRPr="00B00FAA" w:rsidP="00B00FAA">
            <w:pPr>
              <w:pStyle w:val="ListBullet"/>
            </w:pPr>
            <w:r w:rsidRPr="00B00FAA">
              <w:t>vertical-style blinds</w:t>
            </w:r>
          </w:p>
          <w:p w:rsidR="00000000" w:rsidRPr="00B00FAA" w:rsidP="00B00FAA">
            <w:pPr>
              <w:pStyle w:val="ListBullet"/>
            </w:pPr>
            <w:r w:rsidRPr="00B00FAA">
              <w:t>timber, plastic and aluminium Venetian-style blinds</w:t>
            </w:r>
          </w:p>
          <w:p w:rsidR="00000000" w:rsidRPr="00B00FAA" w:rsidP="00B00FAA">
            <w:pPr>
              <w:pStyle w:val="ListBullet"/>
            </w:pPr>
            <w:r w:rsidRPr="00B00FAA">
              <w:t>pleated-style blinds</w:t>
            </w:r>
          </w:p>
          <w:p w:rsidR="00000000" w:rsidRPr="00B00FAA" w:rsidP="00B00FAA">
            <w:pPr>
              <w:pStyle w:val="ListBullet"/>
            </w:pPr>
            <w:r w:rsidRPr="00B00FAA">
              <w:t>wood weave-style blinds</w:t>
            </w:r>
          </w:p>
          <w:p w:rsidR="00000000" w:rsidRPr="00B00FAA" w:rsidP="00B00FAA">
            <w:pPr>
              <w:pStyle w:val="ListBullet"/>
            </w:pPr>
            <w:r w:rsidRPr="00B00FAA">
              <w:t>canopy-style awnings</w:t>
            </w:r>
          </w:p>
          <w:p w:rsidR="00000000" w:rsidRPr="00B00FAA" w:rsidP="00B00FAA">
            <w:pPr>
              <w:pStyle w:val="ListBullet"/>
            </w:pPr>
            <w:r w:rsidRPr="00B00FAA">
              <w:t>metal louvre-style awnings</w:t>
            </w:r>
          </w:p>
          <w:p w:rsidR="00000000" w:rsidRPr="00B00FAA" w:rsidP="00B00FAA">
            <w:pPr>
              <w:pStyle w:val="ListBullet"/>
            </w:pPr>
            <w:r w:rsidRPr="00B00FAA">
              <w:t>aluminium roll-up style awnings</w:t>
            </w:r>
          </w:p>
          <w:p w:rsidR="00000000" w:rsidRPr="00B00FAA" w:rsidP="00B00FAA">
            <w:pPr>
              <w:pStyle w:val="ListBullet"/>
            </w:pPr>
            <w:r w:rsidRPr="00B00FAA">
              <w:t>folding-arm style awnings</w:t>
            </w:r>
          </w:p>
          <w:p w:rsidR="00000000" w:rsidP="00B00FAA">
            <w:pPr>
              <w:pStyle w:val="ListBullet"/>
              <w:rPr>
                <w:lang w:val="en-NZ"/>
              </w:rPr>
            </w:pPr>
            <w:r w:rsidRPr="00B00FAA">
              <w:t>hardware and fixings</w:t>
            </w:r>
          </w:p>
        </w:tc>
      </w:tr>
      <w:tr w:rsidTr="00B00F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rPr>
                <w:rStyle w:val="SpecialBold"/>
              </w:rPr>
              <w:t>Building styles include:</w:t>
            </w:r>
          </w:p>
        </w:tc>
        <w:tc>
          <w:tcPr>
            <w:tcW w:w="6312" w:type="dxa"/>
            <w:tcBorders>
              <w:top w:val="nil"/>
              <w:left w:val="nil"/>
              <w:bottom w:val="nil"/>
              <w:right w:val="nil"/>
            </w:tcBorders>
            <w:tcMar>
              <w:top w:w="0" w:type="dxa"/>
              <w:left w:w="62" w:type="dxa"/>
              <w:bottom w:w="0" w:type="dxa"/>
              <w:right w:w="62" w:type="dxa"/>
            </w:tcMar>
          </w:tcPr>
          <w:p w:rsidR="00000000" w:rsidRPr="00B00FAA" w:rsidP="00B00FAA">
            <w:pPr>
              <w:pStyle w:val="ListBullet"/>
            </w:pPr>
            <w:r w:rsidRPr="00B00FAA">
              <w:t>herit</w:t>
            </w:r>
            <w:r w:rsidRPr="00B00FAA">
              <w:t>age</w:t>
            </w:r>
          </w:p>
          <w:p w:rsidR="00000000" w:rsidRPr="00B00FAA" w:rsidP="00B00FAA">
            <w:pPr>
              <w:pStyle w:val="ListBullet"/>
            </w:pPr>
            <w:r w:rsidRPr="00B00FAA">
              <w:t>period</w:t>
            </w:r>
          </w:p>
          <w:p w:rsidR="00000000" w:rsidP="00B00FAA">
            <w:pPr>
              <w:pStyle w:val="ListBullet"/>
              <w:rPr>
                <w:lang w:val="en-NZ"/>
              </w:rPr>
            </w:pPr>
            <w:r w:rsidRPr="00B00FAA">
              <w:t>single and multi-storey</w:t>
            </w:r>
          </w:p>
        </w:tc>
      </w:tr>
      <w:tr w:rsidTr="00B00F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rPr>
                <w:rStyle w:val="SpecialBold"/>
              </w:rPr>
              <w:t>Building codes include:</w:t>
            </w:r>
          </w:p>
        </w:tc>
        <w:tc>
          <w:tcPr>
            <w:tcW w:w="6312" w:type="dxa"/>
            <w:tcBorders>
              <w:top w:val="nil"/>
              <w:left w:val="nil"/>
              <w:bottom w:val="nil"/>
              <w:right w:val="nil"/>
            </w:tcBorders>
            <w:tcMar>
              <w:top w:w="0" w:type="dxa"/>
              <w:left w:w="62" w:type="dxa"/>
              <w:bottom w:w="0" w:type="dxa"/>
              <w:right w:w="62" w:type="dxa"/>
            </w:tcMar>
          </w:tcPr>
          <w:p w:rsidR="00000000" w:rsidP="00B00FAA">
            <w:pPr>
              <w:pStyle w:val="ListBullet"/>
              <w:rPr>
                <w:lang w:val="en-NZ"/>
              </w:rPr>
            </w:pPr>
            <w:r w:rsidRPr="00B00FAA">
              <w:t>codes related to wind loads, fire attenuation and set backs</w:t>
            </w:r>
          </w:p>
        </w:tc>
      </w:tr>
      <w:tr w:rsidTr="00B00F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rPr>
                <w:rStyle w:val="SpecialBold"/>
              </w:rPr>
              <w:t>Legislation includes:</w:t>
            </w:r>
          </w:p>
        </w:tc>
        <w:tc>
          <w:tcPr>
            <w:tcW w:w="6312" w:type="dxa"/>
            <w:tcBorders>
              <w:top w:val="nil"/>
              <w:left w:val="nil"/>
              <w:bottom w:val="nil"/>
              <w:right w:val="nil"/>
            </w:tcBorders>
            <w:tcMar>
              <w:top w:w="0" w:type="dxa"/>
              <w:left w:w="62" w:type="dxa"/>
              <w:bottom w:w="0" w:type="dxa"/>
              <w:right w:w="62" w:type="dxa"/>
            </w:tcMar>
          </w:tcPr>
          <w:p w:rsidR="00000000" w:rsidRPr="00B00FAA" w:rsidP="00B00FAA">
            <w:pPr>
              <w:pStyle w:val="ListBullet"/>
            </w:pPr>
            <w:r w:rsidRPr="00B00FAA">
              <w:t>applicable legislation from all levels of government, including Commonwealth, state/territory and local council</w:t>
            </w:r>
          </w:p>
          <w:p w:rsidR="00000000" w:rsidRPr="00B00FAA" w:rsidP="00B00FAA">
            <w:pPr>
              <w:pStyle w:val="ListBullet"/>
            </w:pPr>
            <w:r w:rsidRPr="00B00FAA">
              <w:t>heritage trusts and body corporate</w:t>
            </w:r>
          </w:p>
          <w:p w:rsidR="00000000" w:rsidRPr="00B00FAA" w:rsidP="00B00FAA">
            <w:pPr>
              <w:pStyle w:val="ListBullet"/>
            </w:pPr>
            <w:r w:rsidRPr="00B00FAA">
              <w:t>Australian Standards</w:t>
            </w:r>
          </w:p>
          <w:p w:rsidR="00000000" w:rsidRPr="00B00FAA" w:rsidP="00B00FAA">
            <w:pPr>
              <w:pStyle w:val="ListBullet"/>
            </w:pPr>
            <w:r w:rsidRPr="00B00FAA">
              <w:t>WHS</w:t>
            </w:r>
          </w:p>
          <w:p w:rsidR="00000000" w:rsidRPr="00B00FAA" w:rsidP="00B00FAA">
            <w:pPr>
              <w:pStyle w:val="ListBullet"/>
            </w:pPr>
            <w:r w:rsidRPr="00B00FAA">
              <w:t>the environment</w:t>
            </w:r>
          </w:p>
          <w:p w:rsidR="00000000" w:rsidRPr="00B00FAA" w:rsidP="00B00FAA">
            <w:pPr>
              <w:pStyle w:val="ListBullet"/>
            </w:pPr>
            <w:r w:rsidRPr="00B00FAA">
              <w:t>relevant industry codes of practice</w:t>
            </w:r>
          </w:p>
          <w:p w:rsidR="00000000" w:rsidP="00B00FAA">
            <w:pPr>
              <w:pStyle w:val="ListBullet"/>
              <w:rPr>
                <w:lang w:val="en-NZ"/>
              </w:rPr>
            </w:pPr>
            <w:r w:rsidRPr="00B00FAA">
              <w:t>duty of care and heritage</w:t>
            </w:r>
          </w:p>
        </w:tc>
      </w:tr>
      <w:tr w:rsidTr="00B00F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B00FAA" w:rsidP="00B00FAA">
            <w:pPr>
              <w:pStyle w:val="ListBullet"/>
            </w:pPr>
            <w:r w:rsidRPr="00B00FAA">
              <w:t>Commonwealth, state or territory legislation and regulations</w:t>
            </w:r>
          </w:p>
          <w:p w:rsidR="00000000" w:rsidRPr="00B00FAA" w:rsidP="00B00FAA">
            <w:pPr>
              <w:pStyle w:val="ListBullet"/>
            </w:pPr>
            <w:r w:rsidRPr="00B00FAA">
              <w:t>organisational safety polici</w:t>
            </w:r>
            <w:r w:rsidRPr="00B00FAA">
              <w:t>es and procedures</w:t>
            </w:r>
          </w:p>
          <w:p w:rsidR="00000000" w:rsidRPr="00B00FAA" w:rsidP="00B00FAA">
            <w:pPr>
              <w:pStyle w:val="ListBullet"/>
            </w:pPr>
            <w:r w:rsidRPr="00B00FAA">
              <w:t>the use of personal protective equipment and clothing</w:t>
            </w:r>
          </w:p>
          <w:p w:rsidR="00000000" w:rsidRPr="00B00FAA" w:rsidP="00B00FAA">
            <w:pPr>
              <w:pStyle w:val="ListBullet"/>
            </w:pPr>
            <w:r w:rsidRPr="00B00FAA">
              <w:t>firefighting equipment</w:t>
            </w:r>
          </w:p>
          <w:p w:rsidR="00000000" w:rsidRPr="00B00FAA" w:rsidP="00B00FAA">
            <w:pPr>
              <w:pStyle w:val="ListBullet"/>
            </w:pPr>
            <w:r w:rsidRPr="00B00FAA">
              <w:t>first aid equipment</w:t>
            </w:r>
          </w:p>
          <w:p w:rsidR="00000000" w:rsidRPr="00B00FAA" w:rsidP="00B00FAA">
            <w:pPr>
              <w:pStyle w:val="ListBullet"/>
            </w:pPr>
            <w:r w:rsidRPr="00B00FAA">
              <w:t>hazard and risk control and elimination of hazardous materials and substances</w:t>
            </w:r>
          </w:p>
          <w:p w:rsidR="00000000" w:rsidP="00B00FAA">
            <w:pPr>
              <w:pStyle w:val="ListBullet"/>
              <w:rPr>
                <w:lang w:val="en-NZ"/>
              </w:rPr>
            </w:pPr>
            <w:r w:rsidRPr="00B00FAA">
              <w:t>manual handling, including lifting and carrying</w:t>
            </w:r>
          </w:p>
        </w:tc>
      </w:tr>
      <w:tr w:rsidTr="00B00F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rPr>
                <w:rStyle w:val="SpecialBold"/>
              </w:rPr>
              <w:t>Restrictions and limitations include:</w:t>
            </w:r>
          </w:p>
        </w:tc>
        <w:tc>
          <w:tcPr>
            <w:tcW w:w="6312" w:type="dxa"/>
            <w:tcBorders>
              <w:top w:val="nil"/>
              <w:left w:val="nil"/>
              <w:bottom w:val="nil"/>
              <w:right w:val="nil"/>
            </w:tcBorders>
            <w:tcMar>
              <w:top w:w="0" w:type="dxa"/>
              <w:left w:w="62" w:type="dxa"/>
              <w:bottom w:w="0" w:type="dxa"/>
              <w:right w:w="62" w:type="dxa"/>
            </w:tcMar>
          </w:tcPr>
          <w:p w:rsidR="00000000" w:rsidRPr="00B00FAA" w:rsidP="00B00FAA">
            <w:pPr>
              <w:pStyle w:val="ListBullet"/>
            </w:pPr>
            <w:r w:rsidRPr="00B00FAA">
              <w:t>building:</w:t>
            </w:r>
          </w:p>
          <w:p w:rsidR="00000000" w:rsidRPr="00B00FAA" w:rsidP="00B00FAA">
            <w:pPr>
              <w:pStyle w:val="ListBullet2"/>
            </w:pPr>
            <w:r w:rsidRPr="00B00FAA">
              <w:t>materials, height, architectural integrity and access</w:t>
            </w:r>
          </w:p>
          <w:p w:rsidR="00000000" w:rsidRPr="00B00FAA" w:rsidP="00B00FAA">
            <w:pPr>
              <w:pStyle w:val="ListBullet"/>
            </w:pPr>
            <w:r w:rsidRPr="00B00FAA">
              <w:t>natural environment:</w:t>
            </w:r>
          </w:p>
          <w:p w:rsidR="00000000" w:rsidRPr="00B00FAA" w:rsidP="00B00FAA">
            <w:pPr>
              <w:pStyle w:val="ListBullet2"/>
            </w:pPr>
            <w:r w:rsidRPr="00B00FAA">
              <w:t>overhang, space and height</w:t>
            </w:r>
          </w:p>
          <w:p w:rsidR="00000000" w:rsidRPr="00B00FAA" w:rsidP="00B00FAA">
            <w:pPr>
              <w:pStyle w:val="ListBullet"/>
            </w:pPr>
            <w:r w:rsidRPr="00B00FAA">
              <w:t>weather:</w:t>
            </w:r>
          </w:p>
          <w:p w:rsidR="00000000" w:rsidP="00B00FAA">
            <w:pPr>
              <w:pStyle w:val="ListBullet2"/>
              <w:rPr>
                <w:lang w:val="en-NZ"/>
              </w:rPr>
            </w:pPr>
            <w:r w:rsidRPr="00B00FAA">
              <w:t>wind rating, rainfall and directional perspective (i.e. north, south, east, west facing)</w:t>
            </w:r>
          </w:p>
        </w:tc>
      </w:tr>
      <w:tr w:rsidTr="00B00F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rPr>
                <w:rStyle w:val="SpecialBold"/>
              </w:rPr>
              <w:t>Active listening includes:</w:t>
            </w:r>
          </w:p>
        </w:tc>
        <w:tc>
          <w:tcPr>
            <w:tcW w:w="6312" w:type="dxa"/>
            <w:tcBorders>
              <w:top w:val="nil"/>
              <w:left w:val="nil"/>
              <w:bottom w:val="nil"/>
              <w:right w:val="nil"/>
            </w:tcBorders>
            <w:tcMar>
              <w:top w:w="0" w:type="dxa"/>
              <w:left w:w="62" w:type="dxa"/>
              <w:bottom w:w="0" w:type="dxa"/>
              <w:right w:w="62" w:type="dxa"/>
            </w:tcMar>
          </w:tcPr>
          <w:p w:rsidR="00000000" w:rsidP="00B00FAA">
            <w:pPr>
              <w:pStyle w:val="ListBullet"/>
              <w:rPr>
                <w:lang w:val="en-NZ"/>
              </w:rPr>
            </w:pPr>
            <w:r w:rsidRPr="00B00FAA">
              <w:t>maintaining eye contact and asking questions to clarify meaning</w:t>
            </w:r>
          </w:p>
        </w:tc>
      </w:tr>
      <w:tr w:rsidTr="00B00F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B00FAA" w:rsidP="00B00FAA">
            <w:pPr>
              <w:pStyle w:val="ListBullet"/>
            </w:pPr>
            <w:r w:rsidRPr="00B00FAA">
              <w:t>quotation for work</w:t>
            </w:r>
          </w:p>
          <w:p w:rsidR="00000000" w:rsidRPr="00B00FAA" w:rsidP="00B00FAA">
            <w:pPr>
              <w:pStyle w:val="ListBullet"/>
            </w:pPr>
            <w:r w:rsidRPr="00B00FAA">
              <w:t>sketches</w:t>
            </w:r>
          </w:p>
          <w:p w:rsidR="00000000" w:rsidRPr="00B00FAA" w:rsidP="00B00FAA">
            <w:pPr>
              <w:pStyle w:val="ListBullet"/>
            </w:pPr>
            <w:r w:rsidRPr="00B00FAA">
              <w:t>drawings</w:t>
            </w:r>
          </w:p>
          <w:p w:rsidR="00000000" w:rsidRPr="00B00FAA" w:rsidP="00B00FAA">
            <w:pPr>
              <w:pStyle w:val="ListBullet"/>
            </w:pPr>
            <w:r w:rsidRPr="00B00FAA">
              <w:t xml:space="preserve">work orders </w:t>
            </w:r>
          </w:p>
          <w:p w:rsidR="00000000" w:rsidP="00B00FAA">
            <w:pPr>
              <w:pStyle w:val="ListBullet"/>
              <w:rPr>
                <w:lang w:val="en-NZ"/>
              </w:rPr>
            </w:pPr>
            <w:r w:rsidRPr="00B00FAA">
              <w:t>customer care cards</w:t>
            </w:r>
          </w:p>
        </w:tc>
      </w:tr>
      <w:tr w:rsidTr="00B00F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rPr>
                <w:rStyle w:val="SpecialBold"/>
              </w:rPr>
              <w:t>Samples include:</w:t>
            </w:r>
          </w:p>
        </w:tc>
        <w:tc>
          <w:tcPr>
            <w:tcW w:w="6312" w:type="dxa"/>
            <w:tcBorders>
              <w:top w:val="nil"/>
              <w:left w:val="nil"/>
              <w:bottom w:val="nil"/>
              <w:right w:val="nil"/>
            </w:tcBorders>
            <w:tcMar>
              <w:top w:w="0" w:type="dxa"/>
              <w:left w:w="62" w:type="dxa"/>
              <w:bottom w:w="0" w:type="dxa"/>
              <w:right w:w="62" w:type="dxa"/>
            </w:tcMar>
          </w:tcPr>
          <w:p w:rsidR="00000000" w:rsidRPr="00B00FAA" w:rsidP="00B00FAA">
            <w:pPr>
              <w:pStyle w:val="ListBullet"/>
            </w:pPr>
            <w:r w:rsidRPr="00B00FAA">
              <w:t>fabric off-cuts</w:t>
            </w:r>
          </w:p>
          <w:p w:rsidR="00000000" w:rsidRPr="00B00FAA" w:rsidP="00B00FAA">
            <w:pPr>
              <w:pStyle w:val="ListBullet"/>
            </w:pPr>
            <w:r w:rsidRPr="00B00FAA">
              <w:t>photographs</w:t>
            </w:r>
          </w:p>
          <w:p w:rsidR="00000000" w:rsidP="00B00FAA">
            <w:pPr>
              <w:pStyle w:val="ListBullet"/>
              <w:rPr>
                <w:lang w:val="en-NZ"/>
              </w:rPr>
            </w:pPr>
            <w:r w:rsidRPr="00B00FAA">
              <w:t>drawings and sketches</w:t>
            </w:r>
          </w:p>
        </w:tc>
      </w:tr>
      <w:tr w:rsidTr="00B00F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rPr>
                <w:rStyle w:val="SpecialBold"/>
              </w:rPr>
              <w:t>Visual aids include:</w:t>
            </w:r>
          </w:p>
        </w:tc>
        <w:tc>
          <w:tcPr>
            <w:tcW w:w="6312" w:type="dxa"/>
            <w:tcBorders>
              <w:top w:val="nil"/>
              <w:left w:val="nil"/>
              <w:bottom w:val="nil"/>
              <w:right w:val="nil"/>
            </w:tcBorders>
            <w:tcMar>
              <w:top w:w="0" w:type="dxa"/>
              <w:left w:w="62" w:type="dxa"/>
              <w:bottom w:w="0" w:type="dxa"/>
              <w:right w:w="62" w:type="dxa"/>
            </w:tcMar>
          </w:tcPr>
          <w:p w:rsidR="00000000" w:rsidRPr="00B00FAA" w:rsidP="00B00FAA">
            <w:pPr>
              <w:pStyle w:val="ListBullet"/>
            </w:pPr>
            <w:r w:rsidRPr="00B00FAA">
              <w:t>photographs</w:t>
            </w:r>
          </w:p>
          <w:p w:rsidR="00000000" w:rsidRPr="00B00FAA" w:rsidP="00B00FAA">
            <w:pPr>
              <w:pStyle w:val="ListBullet"/>
            </w:pPr>
            <w:r w:rsidRPr="00B00FAA">
              <w:t xml:space="preserve">brochures </w:t>
            </w:r>
          </w:p>
          <w:p w:rsidR="00000000" w:rsidP="00B00FAA">
            <w:pPr>
              <w:pStyle w:val="ListBullet"/>
              <w:rPr>
                <w:lang w:val="en-NZ"/>
              </w:rPr>
            </w:pPr>
            <w:r w:rsidRPr="00B00FAA">
              <w:t>computer presentations</w:t>
            </w:r>
          </w:p>
        </w:tc>
      </w:tr>
      <w:tr w:rsidTr="00B00F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00FAA">
            <w:pPr>
              <w:pStyle w:val="BodyText"/>
              <w:rPr>
                <w:lang w:val="en-NZ"/>
              </w:rPr>
            </w:pPr>
            <w:r w:rsidRPr="00B00FAA">
              <w:rPr>
                <w:rStyle w:val="SpecialBold"/>
              </w:rPr>
              <w:t>Customer requirements include:</w:t>
            </w:r>
          </w:p>
        </w:tc>
        <w:tc>
          <w:tcPr>
            <w:tcW w:w="6312" w:type="dxa"/>
            <w:tcBorders>
              <w:top w:val="nil"/>
              <w:left w:val="nil"/>
              <w:bottom w:val="nil"/>
              <w:right w:val="nil"/>
            </w:tcBorders>
            <w:tcMar>
              <w:top w:w="0" w:type="dxa"/>
              <w:left w:w="62" w:type="dxa"/>
              <w:bottom w:w="0" w:type="dxa"/>
              <w:right w:w="62" w:type="dxa"/>
            </w:tcMar>
          </w:tcPr>
          <w:p w:rsidR="00000000" w:rsidRPr="00B00FAA" w:rsidP="00B00FAA">
            <w:pPr>
              <w:pStyle w:val="ListBullet"/>
            </w:pPr>
            <w:r w:rsidRPr="00B00FAA">
              <w:t>sun protection</w:t>
            </w:r>
          </w:p>
          <w:p w:rsidR="00000000" w:rsidRPr="00B00FAA" w:rsidP="00B00FAA">
            <w:pPr>
              <w:pStyle w:val="ListBullet"/>
            </w:pPr>
            <w:r w:rsidRPr="00B00FAA">
              <w:t>darkening effects</w:t>
            </w:r>
          </w:p>
          <w:p w:rsidR="00000000" w:rsidRPr="00B00FAA" w:rsidP="00B00FAA">
            <w:pPr>
              <w:pStyle w:val="ListBullet"/>
            </w:pPr>
            <w:r w:rsidRPr="00B00FAA">
              <w:t>privacy</w:t>
            </w:r>
          </w:p>
          <w:p w:rsidR="00000000" w:rsidRPr="00B00FAA" w:rsidP="00B00FAA">
            <w:pPr>
              <w:pStyle w:val="ListBullet"/>
            </w:pPr>
            <w:r w:rsidRPr="00B00FAA">
              <w:t>insulation</w:t>
            </w:r>
          </w:p>
          <w:p w:rsidR="00000000" w:rsidRPr="00B00FAA" w:rsidP="00B00FAA">
            <w:pPr>
              <w:pStyle w:val="ListBullet"/>
            </w:pPr>
            <w:r w:rsidRPr="00B00FAA">
              <w:t>decoration</w:t>
            </w:r>
          </w:p>
          <w:p w:rsidR="00000000" w:rsidRPr="00B00FAA" w:rsidP="00B00FAA">
            <w:pPr>
              <w:pStyle w:val="ListBullet"/>
            </w:pPr>
            <w:r w:rsidRPr="00B00FAA">
              <w:t>noise reduction</w:t>
            </w:r>
          </w:p>
          <w:p w:rsidR="00000000" w:rsidRPr="00B00FAA" w:rsidP="00B00FAA">
            <w:pPr>
              <w:pStyle w:val="ListBullet"/>
            </w:pPr>
            <w:r w:rsidRPr="00B00FAA">
              <w:t>weather protection</w:t>
            </w:r>
          </w:p>
          <w:p w:rsidR="00000000" w:rsidRPr="00B00FAA" w:rsidP="00B00FAA">
            <w:pPr>
              <w:pStyle w:val="ListBullet"/>
            </w:pPr>
            <w:r w:rsidRPr="00B00FAA">
              <w:t>presenting a professional image</w:t>
            </w:r>
          </w:p>
          <w:p w:rsidR="00000000" w:rsidRPr="00B00FAA" w:rsidP="00B00FAA">
            <w:pPr>
              <w:pStyle w:val="ListBullet"/>
            </w:pPr>
            <w:r w:rsidRPr="00B00FAA">
              <w:t>advertising and branding</w:t>
            </w:r>
          </w:p>
          <w:p w:rsidR="00000000" w:rsidRPr="00B00FAA" w:rsidP="00B00FAA">
            <w:pPr>
              <w:pStyle w:val="ListBullet"/>
            </w:pPr>
            <w:r w:rsidRPr="00B00FAA">
              <w:t>light dispersal</w:t>
            </w:r>
          </w:p>
        </w:tc>
      </w:tr>
    </w:tbl>
    <w:p w:rsidR="00EC5C40" w:rsidP="00B00FAA">
      <w:pPr>
        <w:pStyle w:val="BodyText"/>
      </w:pPr>
    </w:p>
    <w:p w:rsidR="00EC5C40" w:rsidP="00B00FAA">
      <w:pPr>
        <w:pStyle w:val="BodyText"/>
      </w:pPr>
    </w:p>
    <w:p w:rsidR="00000000" w:rsidRPr="00B00FAA" w:rsidP="00B00FAA">
      <w:pPr>
        <w:pStyle w:val="Heading1"/>
      </w:pPr>
      <w:bookmarkStart w:id="9" w:name="O_630295"/>
      <w:bookmarkEnd w:id="9"/>
      <w:r w:rsidRPr="00B00FAA">
        <w:t>Unit Mapping Information</w:t>
      </w:r>
    </w:p>
    <w:p w:rsidR="00000000" w:rsidRPr="00B00FAA" w:rsidP="00B00FAA">
      <w:pPr>
        <w:pStyle w:val="BodyText"/>
      </w:pPr>
      <w:r w:rsidRPr="00B00FAA">
        <w:t>Supersedes and is equivalent to LMFBA4001A Assess suitability of blinds or awnings</w:t>
      </w:r>
    </w:p>
    <w:p w:rsidR="00000000" w:rsidRPr="00B00FAA" w:rsidP="00B00FAA">
      <w:pPr>
        <w:pStyle w:val="AllowPageBreak"/>
      </w:pPr>
    </w:p>
    <w:p w:rsidR="00000000" w:rsidRPr="00B00FAA" w:rsidP="00B00FAA">
      <w:pPr>
        <w:pStyle w:val="Heading1"/>
      </w:pPr>
      <w:bookmarkStart w:id="10" w:name="O_630288"/>
      <w:bookmarkEnd w:id="10"/>
      <w:r w:rsidRPr="00B00FAA">
        <w:t>Links</w:t>
      </w:r>
    </w:p>
    <w:p w:rsidR="00000000" w:rsidRPr="00B00FAA" w:rsidP="00B00FAA">
      <w:pPr>
        <w:pStyle w:val="BodyText"/>
      </w:pPr>
      <w:r w:rsidRPr="00B00FAA">
        <w:t>Companion Volume implementation guides are found in VETNet - https://vetnet.education.gov.au/Pages/TrainingDocs.aspx?q=0601ab95-583a-4e93-b2d4-cfb27b03ed73</w:t>
      </w:r>
    </w:p>
    <w:p w:rsidR="00000000" w:rsidRPr="00B00FAA" w:rsidP="00B00FAA"/>
    <w:sectPr w:rsidSect="00B00F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AA" w:rsidRPr="00EC5C40" w:rsidP="00EC5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40" w:rsidP="00B00F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C5C40" w:rsidP="00B00FA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5C40" w:rsidP="00B00F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FAA" w:rsidRPr="00EC5C40" w:rsidP="00EC5C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F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C40" w:rsidRPr="002D2AF8" w:rsidP="00B00FAA">
    <w:pPr>
      <w:pStyle w:val="Header"/>
      <w:framePr w:wrap="around"/>
    </w:pPr>
    <w:r>
      <w:fldChar w:fldCharType="begin"/>
    </w:r>
    <w:r>
      <w:instrText xml:space="preserve"> TITLE   \* MERGEFORMAT </w:instrText>
    </w:r>
    <w:r>
      <w:fldChar w:fldCharType="separate"/>
    </w:r>
    <w:r>
      <w:t>MSFBA3010 Assess suitability of blinds or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EC5C40" w:rsidP="00B00F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923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A01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780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F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FAA"/>
    <w:pPr>
      <w:spacing w:before="360" w:after="60"/>
      <w:outlineLvl w:val="0"/>
    </w:pPr>
    <w:rPr>
      <w:sz w:val="32"/>
    </w:rPr>
  </w:style>
  <w:style w:type="paragraph" w:styleId="Heading2">
    <w:name w:val="heading 2"/>
    <w:basedOn w:val="HeadingBase"/>
    <w:next w:val="BodyText"/>
    <w:link w:val="Heading2Char"/>
    <w:qFormat/>
    <w:rsid w:val="00B00FAA"/>
    <w:pPr>
      <w:keepLines/>
      <w:spacing w:before="240" w:after="120"/>
      <w:outlineLvl w:val="1"/>
    </w:pPr>
    <w:rPr>
      <w:sz w:val="28"/>
      <w:szCs w:val="40"/>
    </w:rPr>
  </w:style>
  <w:style w:type="paragraph" w:styleId="Heading3">
    <w:name w:val="heading 3"/>
    <w:basedOn w:val="HeadingBase"/>
    <w:next w:val="BodyText"/>
    <w:link w:val="Heading3Char"/>
    <w:qFormat/>
    <w:rsid w:val="00B00FAA"/>
    <w:pPr>
      <w:spacing w:before="180" w:after="120"/>
      <w:outlineLvl w:val="2"/>
    </w:pPr>
    <w:rPr>
      <w:spacing w:val="-10"/>
      <w:kern w:val="32"/>
    </w:rPr>
  </w:style>
  <w:style w:type="paragraph" w:styleId="Heading4">
    <w:name w:val="heading 4"/>
    <w:basedOn w:val="HeadingBase"/>
    <w:next w:val="BodyText"/>
    <w:link w:val="Heading4Char"/>
    <w:qFormat/>
    <w:rsid w:val="00B00FAA"/>
    <w:pPr>
      <w:spacing w:before="160" w:after="120"/>
      <w:outlineLvl w:val="3"/>
    </w:pPr>
    <w:rPr>
      <w:sz w:val="22"/>
    </w:rPr>
  </w:style>
  <w:style w:type="paragraph" w:styleId="Heading5">
    <w:name w:val="heading 5"/>
    <w:basedOn w:val="HeadingBase"/>
    <w:next w:val="Normal"/>
    <w:link w:val="Heading5Char"/>
    <w:qFormat/>
    <w:rsid w:val="00B00FAA"/>
    <w:pPr>
      <w:spacing w:before="80"/>
      <w:outlineLvl w:val="4"/>
    </w:pPr>
    <w:rPr>
      <w:color w:val="918585"/>
      <w:sz w:val="20"/>
    </w:rPr>
  </w:style>
  <w:style w:type="paragraph" w:styleId="Heading6">
    <w:name w:val="heading 6"/>
    <w:basedOn w:val="HeadingBase"/>
    <w:next w:val="Normal"/>
    <w:link w:val="Heading6Char"/>
    <w:qFormat/>
    <w:rsid w:val="00B00FAA"/>
    <w:pPr>
      <w:spacing w:before="60"/>
      <w:outlineLvl w:val="5"/>
    </w:pPr>
    <w:rPr>
      <w:color w:val="918585"/>
      <w:sz w:val="20"/>
    </w:rPr>
  </w:style>
  <w:style w:type="paragraph" w:styleId="Heading7">
    <w:name w:val="heading 7"/>
    <w:basedOn w:val="Normal"/>
    <w:next w:val="Normal"/>
    <w:link w:val="Heading7Char"/>
    <w:qFormat/>
    <w:rsid w:val="00B00FAA"/>
    <w:pPr>
      <w:ind w:left="720"/>
      <w:outlineLvl w:val="6"/>
    </w:pPr>
    <w:rPr>
      <w:i/>
    </w:rPr>
  </w:style>
  <w:style w:type="paragraph" w:styleId="Heading8">
    <w:name w:val="heading 8"/>
    <w:basedOn w:val="Normal"/>
    <w:next w:val="Normal"/>
    <w:link w:val="Heading8Char"/>
    <w:qFormat/>
    <w:rsid w:val="00B00FAA"/>
    <w:pPr>
      <w:ind w:left="720"/>
      <w:outlineLvl w:val="7"/>
    </w:pPr>
    <w:rPr>
      <w:i/>
    </w:rPr>
  </w:style>
  <w:style w:type="paragraph" w:styleId="Heading9">
    <w:name w:val="heading 9"/>
    <w:basedOn w:val="Normal"/>
    <w:next w:val="Normal"/>
    <w:link w:val="Heading9Char"/>
    <w:qFormat/>
    <w:rsid w:val="00B00FAA"/>
    <w:pPr>
      <w:ind w:left="720"/>
      <w:outlineLvl w:val="8"/>
    </w:pPr>
    <w:rPr>
      <w:i/>
    </w:rPr>
  </w:style>
  <w:style w:type="character" w:default="1" w:styleId="DefaultParagraphFont">
    <w:name w:val="Default Paragraph Font"/>
    <w:uiPriority w:val="1"/>
    <w:unhideWhenUsed/>
    <w:rsid w:val="00B00F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FAA"/>
  </w:style>
  <w:style w:type="character" w:customStyle="1" w:styleId="Heading1Char">
    <w:name w:val="Heading 1 Char"/>
    <w:basedOn w:val="DefaultParagraphFont"/>
    <w:link w:val="Heading1"/>
    <w:rsid w:val="00B00FAA"/>
    <w:rPr>
      <w:rFonts w:ascii="Times New Roman" w:eastAsia="Times New Roman" w:hAnsi="Times New Roman" w:cs="Times New Roman"/>
      <w:b/>
      <w:sz w:val="32"/>
      <w:szCs w:val="20"/>
      <w:lang w:eastAsia="en-US"/>
    </w:rPr>
  </w:style>
  <w:style w:type="paragraph" w:styleId="BodyText">
    <w:name w:val="Body Text"/>
    <w:basedOn w:val="Normal"/>
    <w:link w:val="BodyTextChar"/>
    <w:rsid w:val="00B00F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FAA"/>
    <w:rPr>
      <w:rFonts w:ascii="Times New Roman" w:eastAsia="Times New Roman" w:hAnsi="Times New Roman" w:cs="Times New Roman"/>
      <w:sz w:val="24"/>
      <w:lang w:eastAsia="en-US"/>
    </w:rPr>
  </w:style>
  <w:style w:type="paragraph" w:styleId="ListBullet">
    <w:name w:val="List Bullet"/>
    <w:basedOn w:val="List"/>
    <w:rsid w:val="00B00FAA"/>
    <w:pPr>
      <w:numPr>
        <w:numId w:val="13"/>
      </w:numPr>
      <w:tabs>
        <w:tab w:val="clear" w:pos="340"/>
      </w:tabs>
      <w:spacing w:before="40" w:after="40"/>
    </w:pPr>
  </w:style>
  <w:style w:type="character" w:customStyle="1" w:styleId="SpecialBold">
    <w:name w:val="Special Bold"/>
    <w:basedOn w:val="DefaultParagraphFont"/>
    <w:rsid w:val="00B00FAA"/>
    <w:rPr>
      <w:b/>
      <w:spacing w:val="0"/>
    </w:rPr>
  </w:style>
  <w:style w:type="paragraph" w:styleId="ListBullet2">
    <w:name w:val="List Bullet 2"/>
    <w:basedOn w:val="List2"/>
    <w:rsid w:val="00B00FAA"/>
    <w:pPr>
      <w:numPr>
        <w:numId w:val="14"/>
      </w:numPr>
      <w:tabs>
        <w:tab w:val="clear" w:pos="680"/>
      </w:tabs>
    </w:pPr>
  </w:style>
  <w:style w:type="paragraph" w:customStyle="1" w:styleId="SuperHeading">
    <w:name w:val="SuperHeading"/>
    <w:basedOn w:val="Normal"/>
    <w:rsid w:val="00B00FAA"/>
    <w:pPr>
      <w:spacing w:before="240" w:after="120"/>
      <w:outlineLvl w:val="0"/>
    </w:pPr>
    <w:rPr>
      <w:rFonts w:ascii="Times New Roman" w:hAnsi="Times New Roman"/>
      <w:b/>
      <w:sz w:val="32"/>
    </w:rPr>
  </w:style>
  <w:style w:type="paragraph" w:customStyle="1" w:styleId="AllowPageBreak">
    <w:name w:val="AllowPageBreak"/>
    <w:rsid w:val="00B00F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F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F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F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F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F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F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F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FAA"/>
    <w:rPr>
      <w:rFonts w:ascii="Courier New" w:eastAsia="Times New Roman" w:hAnsi="Courier New" w:cs="Times New Roman"/>
      <w:i/>
      <w:szCs w:val="20"/>
      <w:lang w:eastAsia="en-US"/>
    </w:rPr>
  </w:style>
  <w:style w:type="paragraph" w:customStyle="1" w:styleId="HeadingBase">
    <w:name w:val="Heading Base"/>
    <w:rsid w:val="00B00F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FAA"/>
    <w:pPr>
      <w:tabs>
        <w:tab w:val="right" w:leader="dot" w:pos="9072"/>
      </w:tabs>
      <w:ind w:left="567"/>
    </w:pPr>
    <w:rPr>
      <w:szCs w:val="22"/>
    </w:rPr>
  </w:style>
  <w:style w:type="paragraph" w:customStyle="1" w:styleId="TOCBase">
    <w:name w:val="TOC Base"/>
    <w:rsid w:val="00B00F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FAA"/>
    <w:pPr>
      <w:tabs>
        <w:tab w:val="right" w:leader="dot" w:pos="9072"/>
      </w:tabs>
      <w:spacing w:before="40" w:after="40"/>
      <w:ind w:left="284"/>
    </w:pPr>
    <w:rPr>
      <w:rFonts w:ascii="Times New Roman" w:hAnsi="Times New Roman"/>
    </w:rPr>
  </w:style>
  <w:style w:type="paragraph" w:styleId="TOC1">
    <w:name w:val="toc 1"/>
    <w:basedOn w:val="TOCBase"/>
    <w:next w:val="Normal"/>
    <w:rsid w:val="00B00F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F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FAA"/>
    <w:rPr>
      <w:rFonts w:ascii="Times New Roman" w:eastAsia="Times New Roman" w:hAnsi="Times New Roman" w:cs="Times New Roman"/>
      <w:sz w:val="16"/>
      <w:lang w:eastAsia="en-US"/>
    </w:rPr>
  </w:style>
  <w:style w:type="paragraph" w:styleId="Title">
    <w:name w:val="Title"/>
    <w:basedOn w:val="HeadingBase"/>
    <w:link w:val="TitleChar"/>
    <w:qFormat/>
    <w:rsid w:val="00B00FAA"/>
    <w:pPr>
      <w:spacing w:before="5040"/>
      <w:jc w:val="center"/>
    </w:pPr>
    <w:rPr>
      <w:sz w:val="48"/>
      <w:szCs w:val="72"/>
      <w:lang w:val="en-US"/>
    </w:rPr>
  </w:style>
  <w:style w:type="character" w:customStyle="1" w:styleId="TitleChar">
    <w:name w:val="Title Char"/>
    <w:basedOn w:val="DefaultParagraphFont"/>
    <w:link w:val="Title"/>
    <w:rsid w:val="00B00F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FAA"/>
    <w:pPr>
      <w:tabs>
        <w:tab w:val="left" w:pos="3600"/>
        <w:tab w:val="left" w:pos="3958"/>
      </w:tabs>
    </w:pPr>
  </w:style>
  <w:style w:type="paragraph" w:styleId="List">
    <w:name w:val="List"/>
    <w:basedOn w:val="BodyText"/>
    <w:next w:val="BodyText"/>
    <w:rsid w:val="00B00FAA"/>
    <w:pPr>
      <w:tabs>
        <w:tab w:val="left" w:pos="340"/>
      </w:tabs>
      <w:spacing w:before="60" w:after="60"/>
      <w:ind w:left="340" w:hanging="340"/>
    </w:pPr>
  </w:style>
  <w:style w:type="paragraph" w:customStyle="1" w:styleId="Note">
    <w:name w:val="Note"/>
    <w:basedOn w:val="BodyText"/>
    <w:rsid w:val="00B00F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FAA"/>
    <w:pPr>
      <w:framePr w:wrap="auto" w:hAnchor="text" w:y="6049"/>
    </w:pPr>
    <w:rPr>
      <w:color w:val="000000"/>
      <w:sz w:val="40"/>
    </w:rPr>
  </w:style>
  <w:style w:type="paragraph" w:customStyle="1" w:styleId="TOCTitle">
    <w:name w:val="TOCTitle"/>
    <w:basedOn w:val="Heading1"/>
    <w:rsid w:val="00B00FAA"/>
    <w:pPr>
      <w:spacing w:after="240"/>
      <w:jc w:val="center"/>
      <w:outlineLvl w:val="9"/>
    </w:pPr>
    <w:rPr>
      <w:caps/>
    </w:rPr>
  </w:style>
  <w:style w:type="paragraph" w:customStyle="1" w:styleId="Version">
    <w:name w:val="Version"/>
    <w:rsid w:val="00B00F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FAA"/>
    <w:pPr>
      <w:keepNext w:val="0"/>
      <w:tabs>
        <w:tab w:val="right" w:pos="4176"/>
      </w:tabs>
      <w:ind w:left="198" w:hanging="198"/>
    </w:pPr>
    <w:rPr>
      <w:rFonts w:ascii="Garamond" w:hAnsi="Garamond"/>
    </w:rPr>
  </w:style>
  <w:style w:type="paragraph" w:styleId="IndexHeading">
    <w:name w:val="index heading"/>
    <w:basedOn w:val="Normal"/>
    <w:next w:val="Index1"/>
    <w:semiHidden/>
    <w:rsid w:val="00B00FAA"/>
    <w:pPr>
      <w:spacing w:before="120" w:after="120"/>
    </w:pPr>
    <w:rPr>
      <w:rFonts w:ascii="Arial" w:hAnsi="Arial"/>
      <w:b/>
      <w:color w:val="918585"/>
      <w:sz w:val="24"/>
    </w:rPr>
  </w:style>
  <w:style w:type="paragraph" w:styleId="Header">
    <w:name w:val="header"/>
    <w:basedOn w:val="Normal"/>
    <w:link w:val="HeaderChar"/>
    <w:rsid w:val="00B00F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FAA"/>
    <w:rPr>
      <w:rFonts w:ascii="Times New Roman" w:eastAsia="Times New Roman" w:hAnsi="Times New Roman" w:cs="Times New Roman"/>
      <w:sz w:val="16"/>
      <w:szCs w:val="20"/>
      <w:lang w:val="en-GB" w:eastAsia="en-US"/>
    </w:rPr>
  </w:style>
  <w:style w:type="paragraph" w:customStyle="1" w:styleId="Chapter">
    <w:name w:val="Chapter"/>
    <w:basedOn w:val="Normal"/>
    <w:rsid w:val="00B00FAA"/>
    <w:pPr>
      <w:spacing w:before="240"/>
    </w:pPr>
    <w:rPr>
      <w:rFonts w:ascii="Times New Roman" w:hAnsi="Times New Roman"/>
      <w:smallCaps/>
      <w:spacing w:val="80"/>
      <w:sz w:val="28"/>
    </w:rPr>
  </w:style>
  <w:style w:type="paragraph" w:customStyle="1" w:styleId="InChapter">
    <w:name w:val="InChapter"/>
    <w:basedOn w:val="Heading3"/>
    <w:rsid w:val="00B00FAA"/>
    <w:pPr>
      <w:spacing w:after="240"/>
      <w:outlineLvl w:val="9"/>
    </w:pPr>
    <w:rPr>
      <w:noProof/>
    </w:rPr>
  </w:style>
  <w:style w:type="paragraph" w:styleId="Index2">
    <w:name w:val="index 2"/>
    <w:basedOn w:val="Normal"/>
    <w:next w:val="Normal"/>
    <w:semiHidden/>
    <w:rsid w:val="00B00FAA"/>
    <w:pPr>
      <w:tabs>
        <w:tab w:val="right" w:pos="4176"/>
      </w:tabs>
      <w:ind w:left="568" w:hanging="284"/>
    </w:pPr>
    <w:rPr>
      <w:rFonts w:ascii="Garamond" w:hAnsi="Garamond"/>
    </w:rPr>
  </w:style>
  <w:style w:type="paragraph" w:customStyle="1" w:styleId="Byline">
    <w:name w:val="Byline"/>
    <w:rsid w:val="00B00F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FAA"/>
    <w:pPr>
      <w:tabs>
        <w:tab w:val="clear" w:pos="3600"/>
        <w:tab w:val="clear" w:pos="3958"/>
      </w:tabs>
      <w:jc w:val="right"/>
    </w:pPr>
  </w:style>
  <w:style w:type="character" w:styleId="Emphasis">
    <w:name w:val="Emphasis"/>
    <w:basedOn w:val="DefaultParagraphFont"/>
    <w:qFormat/>
    <w:rsid w:val="00B00FAA"/>
    <w:rPr>
      <w:i/>
    </w:rPr>
  </w:style>
  <w:style w:type="paragraph" w:styleId="Caption">
    <w:name w:val="caption"/>
    <w:basedOn w:val="BodyText"/>
    <w:next w:val="Normal"/>
    <w:qFormat/>
    <w:rsid w:val="00B00FAA"/>
    <w:pPr>
      <w:framePr w:w="2268" w:hSpace="181" w:vSpace="181" w:wrap="around" w:vAnchor="text" w:hAnchor="page" w:x="1135" w:y="285" w:anchorLock="1"/>
    </w:pPr>
    <w:rPr>
      <w:i/>
    </w:rPr>
  </w:style>
  <w:style w:type="paragraph" w:customStyle="1" w:styleId="MiniTOCTitle">
    <w:name w:val="MiniTOCTitle"/>
    <w:basedOn w:val="Heading4"/>
    <w:rsid w:val="00B00FAA"/>
    <w:pPr>
      <w:spacing w:before="240"/>
      <w:outlineLvl w:val="9"/>
    </w:pPr>
    <w:rPr>
      <w:noProof/>
      <w:sz w:val="24"/>
    </w:rPr>
  </w:style>
  <w:style w:type="paragraph" w:customStyle="1" w:styleId="MiniTOCItem">
    <w:name w:val="MiniTOCItem"/>
    <w:basedOn w:val="ListBullet"/>
    <w:rsid w:val="00B00FAA"/>
    <w:pPr>
      <w:numPr>
        <w:numId w:val="0"/>
      </w:numPr>
      <w:tabs>
        <w:tab w:val="right" w:leader="dot" w:pos="6521"/>
      </w:tabs>
      <w:spacing w:before="0" w:after="0"/>
    </w:pPr>
  </w:style>
  <w:style w:type="paragraph" w:customStyle="1" w:styleId="TOFTitle">
    <w:name w:val="TOFTitle"/>
    <w:basedOn w:val="TOCTitle"/>
    <w:rsid w:val="00B00FAA"/>
  </w:style>
  <w:style w:type="paragraph" w:styleId="TableofFigures">
    <w:name w:val="table of figures"/>
    <w:basedOn w:val="Normal"/>
    <w:next w:val="Normal"/>
    <w:semiHidden/>
    <w:rsid w:val="00B00FAA"/>
    <w:pPr>
      <w:tabs>
        <w:tab w:val="right" w:leader="dot" w:pos="9072"/>
      </w:tabs>
      <w:ind w:left="970" w:hanging="403"/>
    </w:pPr>
    <w:rPr>
      <w:rFonts w:ascii="Times New Roman" w:hAnsi="Times New Roman"/>
      <w:b/>
    </w:rPr>
  </w:style>
  <w:style w:type="paragraph" w:styleId="ListNumber">
    <w:name w:val="List Number"/>
    <w:basedOn w:val="List"/>
    <w:rsid w:val="00B00FAA"/>
    <w:pPr>
      <w:numPr>
        <w:numId w:val="11"/>
      </w:numPr>
    </w:pPr>
  </w:style>
  <w:style w:type="character" w:customStyle="1" w:styleId="WingdingSymbols">
    <w:name w:val="Wingding Symbols"/>
    <w:rsid w:val="00B00FAA"/>
    <w:rPr>
      <w:rFonts w:ascii="Wingdings" w:hAnsi="Wingdings"/>
    </w:rPr>
  </w:style>
  <w:style w:type="paragraph" w:customStyle="1" w:styleId="TableHeading">
    <w:name w:val="Table Heading"/>
    <w:basedOn w:val="HeadingBase"/>
    <w:rsid w:val="00B00FAA"/>
    <w:pPr>
      <w:keepLines/>
      <w:pBdr>
        <w:bottom w:val="single" w:sz="6" w:space="1" w:color="918585"/>
      </w:pBdr>
      <w:spacing w:before="240"/>
    </w:pPr>
  </w:style>
  <w:style w:type="character" w:customStyle="1" w:styleId="HotSpot">
    <w:name w:val="HotSpot"/>
    <w:rsid w:val="00B00FAA"/>
    <w:rPr>
      <w:color w:val="0033CC"/>
      <w:u w:val="none"/>
    </w:rPr>
  </w:style>
  <w:style w:type="paragraph" w:customStyle="1" w:styleId="BodyTextRight">
    <w:name w:val="Body Text Right"/>
    <w:basedOn w:val="BodyText"/>
    <w:rsid w:val="00B00FAA"/>
    <w:pPr>
      <w:spacing w:before="0" w:after="0"/>
      <w:jc w:val="right"/>
    </w:pPr>
  </w:style>
  <w:style w:type="paragraph" w:styleId="Index3">
    <w:name w:val="index 3"/>
    <w:basedOn w:val="ListNumber2"/>
    <w:next w:val="Normal"/>
    <w:semiHidden/>
    <w:rsid w:val="00B00FAA"/>
    <w:pPr>
      <w:numPr>
        <w:numId w:val="0"/>
      </w:numPr>
      <w:tabs>
        <w:tab w:val="right" w:leader="dot" w:pos="4176"/>
      </w:tabs>
    </w:pPr>
  </w:style>
  <w:style w:type="paragraph" w:styleId="ListNumber2">
    <w:name w:val="List Number 2"/>
    <w:basedOn w:val="List2"/>
    <w:rsid w:val="00B00FAA"/>
    <w:pPr>
      <w:numPr>
        <w:numId w:val="10"/>
      </w:numPr>
      <w:tabs>
        <w:tab w:val="clear" w:pos="1060"/>
      </w:tabs>
    </w:pPr>
  </w:style>
  <w:style w:type="paragraph" w:customStyle="1" w:styleId="MarginNote">
    <w:name w:val="Margin Note"/>
    <w:basedOn w:val="BodyText"/>
    <w:rsid w:val="00B00F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F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F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FAA"/>
    <w:rPr>
      <w:sz w:val="32"/>
    </w:rPr>
  </w:style>
  <w:style w:type="paragraph" w:customStyle="1" w:styleId="HeadingProcedure">
    <w:name w:val="Heading Procedure"/>
    <w:basedOn w:val="HeadingBase"/>
    <w:next w:val="Normal"/>
    <w:rsid w:val="00B00FAA"/>
    <w:pPr>
      <w:tabs>
        <w:tab w:val="left" w:pos="0"/>
      </w:tabs>
      <w:spacing w:before="120" w:after="60"/>
    </w:pPr>
    <w:rPr>
      <w:i/>
      <w:color w:val="918585"/>
      <w:sz w:val="22"/>
    </w:rPr>
  </w:style>
  <w:style w:type="paragraph" w:customStyle="1" w:styleId="TableBodyText">
    <w:name w:val="Table Body Text"/>
    <w:basedOn w:val="BodyText"/>
    <w:rsid w:val="00B00FAA"/>
    <w:pPr>
      <w:spacing w:before="60" w:after="60"/>
    </w:pPr>
  </w:style>
  <w:style w:type="paragraph" w:styleId="ListContinue">
    <w:name w:val="List Continue"/>
    <w:basedOn w:val="List"/>
    <w:rsid w:val="00B00FAA"/>
    <w:pPr>
      <w:ind w:firstLine="0"/>
    </w:pPr>
  </w:style>
  <w:style w:type="paragraph" w:customStyle="1" w:styleId="ListNote">
    <w:name w:val="List Note"/>
    <w:basedOn w:val="List"/>
    <w:rsid w:val="00B00FAA"/>
    <w:pPr>
      <w:pBdr>
        <w:top w:val="single" w:sz="6" w:space="2" w:color="918585"/>
        <w:bottom w:val="single" w:sz="6" w:space="2" w:color="918585"/>
      </w:pBdr>
      <w:tabs>
        <w:tab w:val="left" w:pos="1021"/>
      </w:tabs>
      <w:ind w:firstLine="0"/>
    </w:pPr>
  </w:style>
  <w:style w:type="paragraph" w:customStyle="1" w:styleId="Warning">
    <w:name w:val="Warning"/>
    <w:basedOn w:val="BodyText"/>
    <w:rsid w:val="00B00FAA"/>
    <w:pPr>
      <w:shd w:val="clear" w:color="auto" w:fill="D9D9D9"/>
      <w:tabs>
        <w:tab w:val="left" w:pos="992"/>
      </w:tabs>
      <w:ind w:left="119" w:right="119"/>
    </w:pPr>
    <w:rPr>
      <w:sz w:val="20"/>
    </w:rPr>
  </w:style>
  <w:style w:type="paragraph" w:customStyle="1" w:styleId="MarginIcons">
    <w:name w:val="Margin Icons"/>
    <w:basedOn w:val="BodyText"/>
    <w:rsid w:val="00B00F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FAA"/>
    <w:rPr>
      <w:rFonts w:ascii="Courier New" w:hAnsi="Courier New"/>
    </w:rPr>
  </w:style>
  <w:style w:type="paragraph" w:customStyle="1" w:styleId="NoteBullet">
    <w:name w:val="Note Bullet"/>
    <w:basedOn w:val="Note"/>
    <w:rsid w:val="00B00FAA"/>
    <w:pPr>
      <w:tabs>
        <w:tab w:val="clear" w:pos="680"/>
      </w:tabs>
      <w:spacing w:before="60" w:after="60"/>
    </w:pPr>
  </w:style>
  <w:style w:type="paragraph" w:customStyle="1" w:styleId="SubHeading2">
    <w:name w:val="SubHeading2"/>
    <w:basedOn w:val="HeadingBase"/>
    <w:rsid w:val="00B00FAA"/>
    <w:pPr>
      <w:spacing w:before="240" w:after="60"/>
    </w:pPr>
    <w:rPr>
      <w:sz w:val="20"/>
    </w:rPr>
  </w:style>
  <w:style w:type="paragraph" w:customStyle="1" w:styleId="SubHeading1">
    <w:name w:val="SubHeading1"/>
    <w:basedOn w:val="HeadingBase"/>
    <w:rsid w:val="00B00FAA"/>
    <w:pPr>
      <w:spacing w:before="240" w:after="60"/>
    </w:pPr>
    <w:rPr>
      <w:color w:val="918585"/>
      <w:sz w:val="22"/>
    </w:rPr>
  </w:style>
  <w:style w:type="paragraph" w:customStyle="1" w:styleId="SideHeading">
    <w:name w:val="Side Heading"/>
    <w:basedOn w:val="HeadingBase"/>
    <w:rsid w:val="00B00F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FAA"/>
    <w:pPr>
      <w:numPr>
        <w:numId w:val="12"/>
      </w:numPr>
    </w:pPr>
  </w:style>
  <w:style w:type="paragraph" w:styleId="PlainText">
    <w:name w:val="Plain Text"/>
    <w:basedOn w:val="Normal"/>
    <w:link w:val="PlainTextChar"/>
    <w:rsid w:val="00B00FAA"/>
    <w:rPr>
      <w:sz w:val="20"/>
    </w:rPr>
  </w:style>
  <w:style w:type="character" w:customStyle="1" w:styleId="PlainTextChar">
    <w:name w:val="Plain Text Char"/>
    <w:basedOn w:val="DefaultParagraphFont"/>
    <w:link w:val="PlainText"/>
    <w:rsid w:val="00B00FAA"/>
    <w:rPr>
      <w:rFonts w:ascii="Courier New" w:eastAsia="Times New Roman" w:hAnsi="Courier New" w:cs="Times New Roman"/>
      <w:sz w:val="20"/>
      <w:szCs w:val="20"/>
      <w:lang w:eastAsia="en-US"/>
    </w:rPr>
  </w:style>
  <w:style w:type="character" w:customStyle="1" w:styleId="MenuOption">
    <w:name w:val="Menu Option"/>
    <w:basedOn w:val="DefaultParagraphFont"/>
    <w:rsid w:val="00B00FAA"/>
    <w:rPr>
      <w:b/>
      <w:smallCaps/>
    </w:rPr>
  </w:style>
  <w:style w:type="paragraph" w:customStyle="1" w:styleId="TableListNumber">
    <w:name w:val="Table List Number"/>
    <w:basedOn w:val="ListNumber"/>
    <w:rsid w:val="00B00FAA"/>
    <w:pPr>
      <w:numPr>
        <w:numId w:val="0"/>
      </w:numPr>
    </w:pPr>
  </w:style>
  <w:style w:type="paragraph" w:styleId="TOC4">
    <w:name w:val="toc 4"/>
    <w:basedOn w:val="TOCBase"/>
    <w:next w:val="Normal"/>
    <w:semiHidden/>
    <w:rsid w:val="00B00FAA"/>
    <w:pPr>
      <w:tabs>
        <w:tab w:val="right" w:leader="dot" w:pos="9071"/>
      </w:tabs>
      <w:ind w:left="1701"/>
    </w:pPr>
  </w:style>
  <w:style w:type="paragraph" w:customStyle="1" w:styleId="ListAlpha">
    <w:name w:val="List Alpha"/>
    <w:basedOn w:val="List"/>
    <w:rsid w:val="00B00FAA"/>
    <w:pPr>
      <w:numPr>
        <w:numId w:val="9"/>
      </w:numPr>
    </w:pPr>
  </w:style>
  <w:style w:type="paragraph" w:customStyle="1" w:styleId="ListAlpha2">
    <w:name w:val="List Alpha 2"/>
    <w:basedOn w:val="List2"/>
    <w:rsid w:val="00B00FAA"/>
    <w:pPr>
      <w:numPr>
        <w:numId w:val="8"/>
      </w:numPr>
    </w:pPr>
  </w:style>
  <w:style w:type="paragraph" w:styleId="List2">
    <w:name w:val="List 2"/>
    <w:basedOn w:val="BodyText"/>
    <w:rsid w:val="00B00FAA"/>
    <w:pPr>
      <w:tabs>
        <w:tab w:val="left" w:pos="680"/>
      </w:tabs>
      <w:spacing w:before="60" w:after="60"/>
      <w:ind w:left="680" w:hanging="340"/>
    </w:pPr>
  </w:style>
  <w:style w:type="paragraph" w:styleId="List3">
    <w:name w:val="List 3"/>
    <w:basedOn w:val="BodyText"/>
    <w:rsid w:val="00B00FAA"/>
    <w:pPr>
      <w:tabs>
        <w:tab w:val="left" w:pos="1021"/>
      </w:tabs>
      <w:spacing w:before="60" w:after="60"/>
      <w:ind w:left="1020" w:hanging="340"/>
    </w:pPr>
  </w:style>
  <w:style w:type="paragraph" w:styleId="List4">
    <w:name w:val="List 4"/>
    <w:basedOn w:val="BodyText"/>
    <w:rsid w:val="00B00FAA"/>
    <w:pPr>
      <w:tabs>
        <w:tab w:val="left" w:pos="1361"/>
      </w:tabs>
      <w:spacing w:before="60" w:after="60"/>
      <w:ind w:left="1361" w:hanging="340"/>
    </w:pPr>
  </w:style>
  <w:style w:type="paragraph" w:styleId="List5">
    <w:name w:val="List 5"/>
    <w:basedOn w:val="BodyText"/>
    <w:rsid w:val="00B00FAA"/>
    <w:pPr>
      <w:tabs>
        <w:tab w:val="left" w:pos="1701"/>
      </w:tabs>
      <w:spacing w:before="60" w:after="60"/>
      <w:ind w:left="1701" w:hanging="340"/>
    </w:pPr>
  </w:style>
  <w:style w:type="paragraph" w:styleId="ListBullet3">
    <w:name w:val="List Bullet 3"/>
    <w:basedOn w:val="List3"/>
    <w:rsid w:val="00B00FAA"/>
    <w:pPr>
      <w:numPr>
        <w:numId w:val="15"/>
      </w:numPr>
      <w:tabs>
        <w:tab w:val="clear" w:pos="1021"/>
      </w:tabs>
      <w:ind w:left="1037" w:hanging="357"/>
    </w:pPr>
  </w:style>
  <w:style w:type="paragraph" w:styleId="ListBullet4">
    <w:name w:val="List Bullet 4"/>
    <w:basedOn w:val="List4"/>
    <w:rsid w:val="00B00FAA"/>
    <w:pPr>
      <w:numPr>
        <w:numId w:val="3"/>
      </w:numPr>
      <w:tabs>
        <w:tab w:val="clear" w:pos="1361"/>
      </w:tabs>
    </w:pPr>
  </w:style>
  <w:style w:type="paragraph" w:styleId="ListBullet5">
    <w:name w:val="List Bullet 5"/>
    <w:basedOn w:val="List5"/>
    <w:rsid w:val="00B00FAA"/>
    <w:pPr>
      <w:numPr>
        <w:numId w:val="4"/>
      </w:numPr>
    </w:pPr>
  </w:style>
  <w:style w:type="paragraph" w:styleId="ListContinue2">
    <w:name w:val="List Continue 2"/>
    <w:basedOn w:val="List2"/>
    <w:rsid w:val="00B00FAA"/>
    <w:pPr>
      <w:ind w:firstLine="0"/>
    </w:pPr>
  </w:style>
  <w:style w:type="paragraph" w:styleId="ListContinue3">
    <w:name w:val="List Continue 3"/>
    <w:basedOn w:val="List3"/>
    <w:rsid w:val="00B00FAA"/>
    <w:pPr>
      <w:ind w:left="1021" w:firstLine="0"/>
    </w:pPr>
  </w:style>
  <w:style w:type="paragraph" w:styleId="ListContinue4">
    <w:name w:val="List Continue 4"/>
    <w:basedOn w:val="List4"/>
    <w:rsid w:val="00B00FAA"/>
    <w:pPr>
      <w:ind w:firstLine="0"/>
    </w:pPr>
  </w:style>
  <w:style w:type="paragraph" w:styleId="ListContinue5">
    <w:name w:val="List Continue 5"/>
    <w:basedOn w:val="List5"/>
    <w:rsid w:val="00B00FAA"/>
    <w:pPr>
      <w:ind w:firstLine="0"/>
    </w:pPr>
  </w:style>
  <w:style w:type="paragraph" w:styleId="ListNumber3">
    <w:name w:val="List Number 3"/>
    <w:basedOn w:val="List3"/>
    <w:rsid w:val="00B00FAA"/>
    <w:pPr>
      <w:numPr>
        <w:numId w:val="5"/>
      </w:numPr>
    </w:pPr>
  </w:style>
  <w:style w:type="paragraph" w:styleId="ListNumber4">
    <w:name w:val="List Number 4"/>
    <w:basedOn w:val="List4"/>
    <w:rsid w:val="00B00FAA"/>
    <w:pPr>
      <w:numPr>
        <w:numId w:val="6"/>
      </w:numPr>
    </w:pPr>
  </w:style>
  <w:style w:type="paragraph" w:styleId="ListNumber5">
    <w:name w:val="List Number 5"/>
    <w:basedOn w:val="List5"/>
    <w:rsid w:val="00B00FAA"/>
    <w:pPr>
      <w:numPr>
        <w:numId w:val="7"/>
      </w:numPr>
    </w:pPr>
  </w:style>
  <w:style w:type="paragraph" w:styleId="BlockText">
    <w:name w:val="Block Text"/>
    <w:basedOn w:val="Normal"/>
    <w:rsid w:val="00B00FAA"/>
    <w:pPr>
      <w:spacing w:after="120"/>
      <w:ind w:left="1440" w:right="1440"/>
    </w:pPr>
  </w:style>
  <w:style w:type="character" w:customStyle="1" w:styleId="Subscript">
    <w:name w:val="Subscript"/>
    <w:basedOn w:val="DefaultParagraphFont"/>
    <w:rsid w:val="00B00FAA"/>
    <w:rPr>
      <w:sz w:val="16"/>
      <w:vertAlign w:val="subscript"/>
    </w:rPr>
  </w:style>
  <w:style w:type="character" w:customStyle="1" w:styleId="Superscript">
    <w:name w:val="Superscript"/>
    <w:basedOn w:val="DefaultParagraphFont"/>
    <w:rsid w:val="00B00FAA"/>
    <w:rPr>
      <w:sz w:val="16"/>
      <w:vertAlign w:val="superscript"/>
    </w:rPr>
  </w:style>
  <w:style w:type="character" w:customStyle="1" w:styleId="Symbols">
    <w:name w:val="Symbols"/>
    <w:basedOn w:val="DefaultParagraphFont"/>
    <w:rsid w:val="00B00FAA"/>
    <w:rPr>
      <w:rFonts w:ascii="Symbol" w:hAnsi="Symbol"/>
    </w:rPr>
  </w:style>
  <w:style w:type="character" w:customStyle="1" w:styleId="MenuOptions">
    <w:name w:val="Menu Options"/>
    <w:basedOn w:val="DefaultParagraphFont"/>
    <w:rsid w:val="00B00FAA"/>
    <w:rPr>
      <w:rFonts w:ascii="Arial Narrow" w:hAnsi="Arial Narrow"/>
      <w:smallCaps/>
    </w:rPr>
  </w:style>
  <w:style w:type="character" w:customStyle="1" w:styleId="Buttons">
    <w:name w:val="Buttons"/>
    <w:basedOn w:val="DefaultParagraphFont"/>
    <w:rsid w:val="00B00FAA"/>
    <w:rPr>
      <w:b/>
    </w:rPr>
  </w:style>
  <w:style w:type="character" w:customStyle="1" w:styleId="Underlined">
    <w:name w:val="Underlined"/>
    <w:basedOn w:val="DefaultParagraphFont"/>
    <w:rsid w:val="00B00FAA"/>
    <w:rPr>
      <w:u w:val="single"/>
    </w:rPr>
  </w:style>
  <w:style w:type="paragraph" w:customStyle="1" w:styleId="TableBodyTextRight">
    <w:name w:val="Table Body Text Right"/>
    <w:basedOn w:val="TableBodyText"/>
    <w:rsid w:val="00B00FAA"/>
    <w:pPr>
      <w:widowControl w:val="0"/>
      <w:autoSpaceDE w:val="0"/>
      <w:autoSpaceDN w:val="0"/>
      <w:adjustRightInd w:val="0"/>
      <w:jc w:val="right"/>
    </w:pPr>
    <w:rPr>
      <w:rFonts w:cs="Arial"/>
      <w:szCs w:val="18"/>
    </w:rPr>
  </w:style>
  <w:style w:type="paragraph" w:customStyle="1" w:styleId="CopyrightText">
    <w:name w:val="Copyright Text"/>
    <w:basedOn w:val="BodyText"/>
    <w:rsid w:val="00B00FAA"/>
    <w:rPr>
      <w:sz w:val="18"/>
    </w:rPr>
  </w:style>
  <w:style w:type="paragraph" w:customStyle="1" w:styleId="BodySmallRight">
    <w:name w:val="Body Small Right"/>
    <w:basedOn w:val="BodyTextRight"/>
    <w:rsid w:val="00B00FAA"/>
    <w:rPr>
      <w:sz w:val="18"/>
      <w:szCs w:val="18"/>
    </w:rPr>
  </w:style>
  <w:style w:type="paragraph" w:customStyle="1" w:styleId="MarginEdition">
    <w:name w:val="Margin Edition"/>
    <w:basedOn w:val="MarginNote"/>
    <w:rsid w:val="00B00FAA"/>
    <w:pPr>
      <w:spacing w:before="0" w:after="0"/>
    </w:pPr>
    <w:rPr>
      <w:rFonts w:ascii="Times New Roman" w:hAnsi="Times New Roman"/>
      <w:color w:val="999999"/>
    </w:rPr>
  </w:style>
  <w:style w:type="paragraph" w:customStyle="1" w:styleId="Spacer">
    <w:name w:val="Spacer"/>
    <w:basedOn w:val="Normal"/>
    <w:rsid w:val="00B00FAA"/>
    <w:rPr>
      <w:sz w:val="2"/>
      <w:szCs w:val="2"/>
    </w:rPr>
  </w:style>
  <w:style w:type="character" w:customStyle="1" w:styleId="Small">
    <w:name w:val="Small"/>
    <w:basedOn w:val="DefaultParagraphFont"/>
    <w:rsid w:val="00B00FAA"/>
    <w:rPr>
      <w:sz w:val="16"/>
    </w:rPr>
  </w:style>
  <w:style w:type="paragraph" w:customStyle="1" w:styleId="WideTable">
    <w:name w:val="Wide Table"/>
    <w:basedOn w:val="Normal"/>
    <w:rsid w:val="00B00FAA"/>
    <w:pPr>
      <w:ind w:left="-1418"/>
    </w:pPr>
    <w:rPr>
      <w:sz w:val="2"/>
      <w:szCs w:val="2"/>
    </w:rPr>
  </w:style>
  <w:style w:type="character" w:styleId="PageNumber">
    <w:name w:val="page number"/>
    <w:basedOn w:val="DefaultParagraphFont"/>
    <w:rsid w:val="00B00FAA"/>
  </w:style>
  <w:style w:type="paragraph" w:styleId="Quote">
    <w:name w:val="Quote"/>
    <w:basedOn w:val="Heading1"/>
    <w:link w:val="QuoteChar"/>
    <w:qFormat/>
    <w:rsid w:val="00B00FAA"/>
    <w:rPr>
      <w:b w:val="0"/>
      <w:sz w:val="72"/>
      <w:szCs w:val="72"/>
      <w:lang w:val="en-NZ"/>
    </w:rPr>
  </w:style>
  <w:style w:type="character" w:customStyle="1" w:styleId="QuoteChar">
    <w:name w:val="Quote Char"/>
    <w:basedOn w:val="DefaultParagraphFont"/>
    <w:link w:val="Quote"/>
    <w:rsid w:val="00B00F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FAA"/>
    <w:pPr>
      <w:pageBreakBefore/>
    </w:pPr>
  </w:style>
  <w:style w:type="paragraph" w:customStyle="1" w:styleId="Border">
    <w:name w:val="Border"/>
    <w:basedOn w:val="Normal"/>
    <w:qFormat/>
    <w:rsid w:val="00B00F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FAA"/>
    <w:rPr>
      <w:b/>
      <w:bCs/>
      <w:i/>
      <w:iCs/>
      <w:color w:val="auto"/>
    </w:rPr>
  </w:style>
  <w:style w:type="paragraph" w:styleId="IntenseQuote">
    <w:name w:val="Intense Quote"/>
    <w:basedOn w:val="Normal"/>
    <w:next w:val="Normal"/>
    <w:link w:val="IntenseQuoteChar"/>
    <w:uiPriority w:val="30"/>
    <w:qFormat/>
    <w:rsid w:val="00B00F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F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FAA"/>
    <w:rPr>
      <w:smallCaps/>
      <w:color w:val="auto"/>
      <w:u w:val="single"/>
    </w:rPr>
  </w:style>
  <w:style w:type="character" w:styleId="IntenseReference">
    <w:name w:val="Intense Reference"/>
    <w:basedOn w:val="DefaultParagraphFont"/>
    <w:uiPriority w:val="32"/>
    <w:qFormat/>
    <w:rsid w:val="00B00FAA"/>
    <w:rPr>
      <w:b/>
      <w:bCs/>
      <w:smallCaps/>
      <w:color w:val="auto"/>
      <w:spacing w:val="5"/>
      <w:u w:val="single"/>
    </w:rPr>
  </w:style>
  <w:style w:type="paragraph" w:customStyle="1" w:styleId="2ColumnHeading">
    <w:name w:val="2Column Heading"/>
    <w:basedOn w:val="BodyText"/>
    <w:qFormat/>
    <w:rsid w:val="00B00FAA"/>
    <w:pPr>
      <w:spacing w:after="60"/>
      <w:ind w:left="-2268"/>
    </w:pPr>
    <w:rPr>
      <w:b/>
    </w:rPr>
  </w:style>
  <w:style w:type="paragraph" w:customStyle="1" w:styleId="Heading1TOC">
    <w:name w:val="Heading1 TOC"/>
    <w:basedOn w:val="Normal"/>
    <w:qFormat/>
    <w:rsid w:val="00B00FAA"/>
    <w:pPr>
      <w:spacing w:before="240" w:after="120"/>
    </w:pPr>
    <w:rPr>
      <w:rFonts w:ascii="Times New Roman" w:hAnsi="Times New Roman"/>
      <w:b/>
      <w:sz w:val="32"/>
    </w:rPr>
  </w:style>
  <w:style w:type="paragraph" w:customStyle="1" w:styleId="Heading2TOC">
    <w:name w:val="Heading2 TOC"/>
    <w:basedOn w:val="Normal"/>
    <w:qFormat/>
    <w:rsid w:val="00B00FAA"/>
    <w:pPr>
      <w:spacing w:before="240" w:after="60"/>
    </w:pPr>
    <w:rPr>
      <w:rFonts w:ascii="Times New Roman" w:hAnsi="Times New Roman"/>
      <w:b/>
      <w:sz w:val="28"/>
    </w:rPr>
  </w:style>
  <w:style w:type="character" w:customStyle="1" w:styleId="Underline">
    <w:name w:val="Underline"/>
    <w:basedOn w:val="DefaultParagraphFont"/>
    <w:qFormat/>
    <w:rsid w:val="00B00FAA"/>
    <w:rPr>
      <w:u w:val="single"/>
    </w:rPr>
  </w:style>
  <w:style w:type="character" w:customStyle="1" w:styleId="BoldandItalics">
    <w:name w:val="Bold and Italics"/>
    <w:qFormat/>
    <w:rsid w:val="00B00FAA"/>
    <w:rPr>
      <w:b/>
      <w:i/>
      <w:u w:val="none"/>
    </w:rPr>
  </w:style>
  <w:style w:type="paragraph" w:styleId="BalloonText">
    <w:name w:val="Balloon Text"/>
    <w:basedOn w:val="Normal"/>
    <w:link w:val="BalloonTextChar"/>
    <w:rsid w:val="00B00FAA"/>
    <w:rPr>
      <w:rFonts w:ascii="Tahoma" w:hAnsi="Tahoma" w:cs="Tahoma"/>
      <w:sz w:val="16"/>
      <w:szCs w:val="16"/>
    </w:rPr>
  </w:style>
  <w:style w:type="character" w:customStyle="1" w:styleId="BalloonTextChar">
    <w:name w:val="Balloon Text Char"/>
    <w:basedOn w:val="DefaultParagraphFont"/>
    <w:link w:val="BalloonText"/>
    <w:rsid w:val="00B00F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F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F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FAA"/>
    <w:rPr>
      <w:b/>
      <w:color w:val="660033"/>
      <w:spacing w:val="0"/>
    </w:rPr>
  </w:style>
  <w:style w:type="paragraph" w:customStyle="1" w:styleId="Nameditemlist">
    <w:name w:val="Named item list"/>
    <w:basedOn w:val="BodyText"/>
    <w:qFormat/>
    <w:rsid w:val="00B00FAA"/>
    <w:pPr>
      <w:tabs>
        <w:tab w:val="left" w:pos="2835"/>
      </w:tabs>
      <w:ind w:left="2835" w:hanging="2835"/>
    </w:pPr>
  </w:style>
  <w:style w:type="paragraph" w:customStyle="1" w:styleId="BodyTextnopadding">
    <w:name w:val="Body Text no padding"/>
    <w:basedOn w:val="BodyText"/>
    <w:qFormat/>
    <w:rsid w:val="00B00FA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4555</Characters>
  <Application>Microsoft Office Word</Application>
  <DocSecurity>0</DocSecurity>
  <Lines>207</Lines>
  <Paragraphs>127</Paragraphs>
  <ScaleCrop>false</ScaleCrop>
  <Company>Author-it Software Corporation Ltd.</Company>
  <LinksUpToDate>false</LinksUpToDate>
  <CharactersWithSpaces>5169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MSFBA3010 Assess suitability of blinds or awnings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2018-12-03T08:22:00Z</dcterms:created>
  <dcterms:modified xsi:type="dcterms:W3CDTF">2018-12-03T08:22:00Z</dcterms:modified>
</cp:coreProperties>
</file>