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6B22" w:rsidP="00F66B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MSFBA2012 Use blinds, awnings, security screens and grilles hand and power tools</w:t>
      </w:r>
      <w:r>
        <w:fldChar w:fldCharType="end"/>
      </w:r>
    </w:p>
    <w:p w:rsidR="00F66B22" w:rsidP="00F66B22">
      <w:pPr>
        <w:pStyle w:val="Version"/>
        <w:sectPr w:rsidSect="00B234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34CF" w:rsidP="00B234CF">
      <w:pPr>
        <w:pStyle w:val="SuperHeading"/>
      </w:pPr>
      <w:r w:rsidRPr="00B234CF">
        <w:t>Assessment Requirements for MSFBA2012 Use blinds, awnings, security screens and grilles hand and power tools</w:t>
      </w:r>
    </w:p>
    <w:p w:rsidR="00000000" w:rsidRPr="00B234CF" w:rsidP="00B234CF">
      <w:pPr>
        <w:pStyle w:val="Heading1"/>
      </w:pPr>
      <w:bookmarkStart w:id="1" w:name="O_1246593"/>
      <w:bookmarkEnd w:id="1"/>
      <w:r w:rsidRPr="00B234CF">
        <w:t>Modification History</w:t>
      </w:r>
    </w:p>
    <w:p w:rsidR="00000000" w:rsidRPr="00B234CF" w:rsidP="00F66B22">
      <w:pPr>
        <w:pStyle w:val="BodyText"/>
      </w:pPr>
      <w:r w:rsidRPr="00B234CF">
        <w:t>Release 1. Changes to code, applicat</w:t>
      </w:r>
      <w:r w:rsidRPr="00B234CF">
        <w:t xml:space="preserve">ion, elements, performance criteria. Foundation skills added. Range of conditions removed. Assessment requirements changed. </w:t>
      </w:r>
    </w:p>
    <w:p w:rsidR="00000000" w:rsidRPr="00B234CF" w:rsidP="00B234CF">
      <w:pPr>
        <w:pStyle w:val="Heading1"/>
      </w:pPr>
      <w:bookmarkStart w:id="2" w:name="O_1246596"/>
      <w:bookmarkEnd w:id="2"/>
      <w:r w:rsidRPr="00B234CF">
        <w:t>Performance Evidence</w:t>
      </w:r>
    </w:p>
    <w:p w:rsidR="00000000" w:rsidRPr="00B234CF" w:rsidP="00F66B22">
      <w:pPr>
        <w:pStyle w:val="BodyText"/>
      </w:pPr>
      <w:r w:rsidRPr="00B234CF">
        <w:t>There must be evidence the candidate has completed the tasks outlined in the elements and p</w:t>
      </w:r>
      <w:r w:rsidRPr="00B234CF">
        <w:t>erformance criteria of this unit and demonstrated the ability to:</w:t>
      </w:r>
    </w:p>
    <w:p w:rsidR="00000000" w:rsidRPr="00B234CF" w:rsidP="00B234CF">
      <w:pPr>
        <w:pStyle w:val="ListBullet"/>
      </w:pPr>
      <w:r w:rsidRPr="00B234CF">
        <w:t>choose appropriate hand tools for the manufacture or fitting of blinds, awnings, security screens or grilles and safely use them to workplace quality standards on at least 2 separate occasi</w:t>
      </w:r>
      <w:r w:rsidRPr="00B234CF">
        <w:t xml:space="preserve">ons, including at least 6 of the following tools: </w:t>
      </w:r>
    </w:p>
    <w:p w:rsidR="00000000" w:rsidRPr="00B234CF" w:rsidP="00B234CF">
      <w:pPr>
        <w:pStyle w:val="ListBullet2"/>
      </w:pPr>
      <w:r w:rsidRPr="00B234CF">
        <w:t>caulking gun</w:t>
      </w:r>
    </w:p>
    <w:p w:rsidR="00000000" w:rsidRPr="00B234CF" w:rsidP="00B234CF">
      <w:pPr>
        <w:pStyle w:val="ListBullet2"/>
      </w:pPr>
      <w:r w:rsidRPr="00B234CF">
        <w:t>clamp</w:t>
      </w:r>
    </w:p>
    <w:p w:rsidR="00000000" w:rsidRPr="00B234CF" w:rsidP="00B234CF">
      <w:pPr>
        <w:pStyle w:val="ListBullet2"/>
      </w:pPr>
      <w:r w:rsidRPr="00B234CF">
        <w:t>eyelet punch</w:t>
      </w:r>
    </w:p>
    <w:p w:rsidR="00000000" w:rsidRPr="00B234CF" w:rsidP="00B234CF">
      <w:pPr>
        <w:pStyle w:val="ListBullet2"/>
      </w:pPr>
      <w:r w:rsidRPr="00B234CF">
        <w:t>file</w:t>
      </w:r>
    </w:p>
    <w:p w:rsidR="00000000" w:rsidRPr="00B234CF" w:rsidP="00B234CF">
      <w:pPr>
        <w:pStyle w:val="ListBullet2"/>
      </w:pPr>
      <w:r w:rsidRPr="00B234CF">
        <w:t>hammer</w:t>
      </w:r>
    </w:p>
    <w:p w:rsidR="00000000" w:rsidRPr="00B234CF" w:rsidP="00B234CF">
      <w:pPr>
        <w:pStyle w:val="ListBullet2"/>
      </w:pPr>
      <w:r w:rsidRPr="00B234CF">
        <w:t>hand grinder</w:t>
      </w:r>
    </w:p>
    <w:p w:rsidR="00000000" w:rsidRPr="00B234CF" w:rsidP="00B234CF">
      <w:pPr>
        <w:pStyle w:val="ListBullet2"/>
      </w:pPr>
      <w:r w:rsidRPr="00B234CF">
        <w:t>hex key</w:t>
      </w:r>
    </w:p>
    <w:p w:rsidR="00000000" w:rsidRPr="00B234CF" w:rsidP="00B234CF">
      <w:pPr>
        <w:pStyle w:val="ListBullet2"/>
      </w:pPr>
      <w:r w:rsidRPr="00B234CF">
        <w:t xml:space="preserve">laser level or levelling device </w:t>
      </w:r>
    </w:p>
    <w:p w:rsidR="00000000" w:rsidRPr="00B234CF" w:rsidP="00B234CF">
      <w:pPr>
        <w:pStyle w:val="ListBullet2"/>
      </w:pPr>
      <w:r w:rsidRPr="00B234CF">
        <w:t>metal press</w:t>
      </w:r>
    </w:p>
    <w:p w:rsidR="00000000" w:rsidRPr="00B234CF" w:rsidP="00B234CF">
      <w:pPr>
        <w:pStyle w:val="ListBullet2"/>
      </w:pPr>
      <w:r w:rsidRPr="00B234CF">
        <w:t>pipe bender</w:t>
      </w:r>
    </w:p>
    <w:p w:rsidR="00000000" w:rsidRPr="00B234CF" w:rsidP="00B234CF">
      <w:pPr>
        <w:pStyle w:val="ListBullet2"/>
      </w:pPr>
      <w:r w:rsidRPr="00B234CF">
        <w:t>pop rivet gun</w:t>
      </w:r>
    </w:p>
    <w:p w:rsidR="00000000" w:rsidRPr="00B234CF" w:rsidP="00B234CF">
      <w:pPr>
        <w:pStyle w:val="ListBullet2"/>
      </w:pPr>
      <w:r w:rsidRPr="00B234CF">
        <w:t>rollers</w:t>
      </w:r>
    </w:p>
    <w:p w:rsidR="00000000" w:rsidRPr="00B234CF" w:rsidP="00B234CF">
      <w:pPr>
        <w:pStyle w:val="ListBullet2"/>
      </w:pPr>
      <w:r w:rsidRPr="00B234CF">
        <w:t>combination saw or hacksaw,</w:t>
      </w:r>
    </w:p>
    <w:p w:rsidR="00000000" w:rsidRPr="00B234CF" w:rsidP="00B234CF">
      <w:pPr>
        <w:pStyle w:val="ListBullet2"/>
      </w:pPr>
      <w:r w:rsidRPr="00B234CF">
        <w:t xml:space="preserve">scissors </w:t>
      </w:r>
    </w:p>
    <w:p w:rsidR="00000000" w:rsidRPr="00B234CF" w:rsidP="00B234CF">
      <w:pPr>
        <w:pStyle w:val="ListBullet2"/>
      </w:pPr>
      <w:r w:rsidRPr="00B234CF">
        <w:t>screwdriver</w:t>
      </w:r>
    </w:p>
    <w:p w:rsidR="00000000" w:rsidRPr="00B234CF" w:rsidP="00B234CF">
      <w:pPr>
        <w:pStyle w:val="ListBullet2"/>
      </w:pPr>
      <w:r w:rsidRPr="00B234CF">
        <w:t>spanner or socket set</w:t>
      </w:r>
    </w:p>
    <w:p w:rsidR="00000000" w:rsidRPr="00B234CF" w:rsidP="00B234CF">
      <w:pPr>
        <w:pStyle w:val="ListBullet2"/>
      </w:pPr>
      <w:r w:rsidRPr="00B234CF">
        <w:t>square, measuring device or markers</w:t>
      </w:r>
    </w:p>
    <w:p w:rsidR="00000000" w:rsidRPr="00B234CF" w:rsidP="00B234CF">
      <w:pPr>
        <w:pStyle w:val="ListBullet2"/>
      </w:pPr>
      <w:r w:rsidRPr="00B234CF">
        <w:t>stud finder</w:t>
      </w:r>
    </w:p>
    <w:p w:rsidR="00000000" w:rsidRPr="00B234CF" w:rsidP="00B234CF">
      <w:pPr>
        <w:pStyle w:val="ListBullet2"/>
      </w:pPr>
      <w:r w:rsidRPr="00B234CF">
        <w:t>tap and die sets</w:t>
      </w:r>
    </w:p>
    <w:p w:rsidR="00000000" w:rsidRPr="00B234CF" w:rsidP="00B234CF">
      <w:pPr>
        <w:pStyle w:val="ListBullet2"/>
      </w:pPr>
      <w:r w:rsidRPr="00B234CF">
        <w:t>tape measure</w:t>
      </w:r>
    </w:p>
    <w:p w:rsidR="00000000" w:rsidRPr="00B234CF" w:rsidP="00B234CF">
      <w:pPr>
        <w:pStyle w:val="ListBullet2"/>
      </w:pPr>
      <w:r w:rsidRPr="00B234CF">
        <w:t>tensioning device</w:t>
      </w:r>
    </w:p>
    <w:p w:rsidR="00000000" w:rsidRPr="00B234CF" w:rsidP="00B234CF">
      <w:pPr>
        <w:pStyle w:val="ListBullet2"/>
      </w:pPr>
      <w:r w:rsidRPr="00B234CF">
        <w:t>knives, shears or tin snips</w:t>
      </w:r>
    </w:p>
    <w:p w:rsidR="00000000" w:rsidRPr="00B234CF" w:rsidP="00B234CF">
      <w:pPr>
        <w:pStyle w:val="ListBullet"/>
      </w:pPr>
      <w:r w:rsidRPr="00B234CF">
        <w:t>choose appropriate power tools for the manufacture or fitting of blinds, awnings, security screens or grilles</w:t>
      </w:r>
      <w:r w:rsidRPr="00B234CF">
        <w:t xml:space="preserve"> and safely use them to workplace quality standards on at least 2 separate occasions, including at least 2 of the following tools:    </w:t>
      </w:r>
    </w:p>
    <w:p w:rsidR="00000000" w:rsidRPr="00B234CF" w:rsidP="00B234CF">
      <w:pPr>
        <w:pStyle w:val="ListBullet2"/>
      </w:pPr>
      <w:r w:rsidRPr="00B234CF">
        <w:t>grinder</w:t>
      </w:r>
    </w:p>
    <w:p w:rsidR="00000000" w:rsidRPr="00B234CF" w:rsidP="00B234CF">
      <w:pPr>
        <w:pStyle w:val="ListBullet2"/>
      </w:pPr>
      <w:r w:rsidRPr="00B234CF">
        <w:t>drill</w:t>
      </w:r>
    </w:p>
    <w:p w:rsidR="00000000" w:rsidRPr="00B234CF" w:rsidP="00B234CF">
      <w:pPr>
        <w:pStyle w:val="ListBullet2"/>
      </w:pPr>
      <w:r w:rsidRPr="00B234CF">
        <w:t>circular, jig, drop, or docking saw</w:t>
      </w:r>
    </w:p>
    <w:p w:rsidR="00000000" w:rsidRPr="00B234CF" w:rsidP="00B234CF">
      <w:pPr>
        <w:pStyle w:val="ListBullet2"/>
      </w:pPr>
      <w:r w:rsidRPr="00B234CF">
        <w:t>press-stud machine</w:t>
      </w:r>
    </w:p>
    <w:p w:rsidR="00000000" w:rsidRPr="00B234CF" w:rsidP="00B234CF">
      <w:pPr>
        <w:pStyle w:val="ListBullet2"/>
      </w:pPr>
      <w:r w:rsidRPr="00B234CF">
        <w:t>hot knife</w:t>
      </w:r>
    </w:p>
    <w:p w:rsidR="00000000" w:rsidRPr="00B234CF" w:rsidP="00B234CF">
      <w:pPr>
        <w:pStyle w:val="ListBullet2"/>
      </w:pPr>
      <w:r w:rsidRPr="00B234CF">
        <w:t xml:space="preserve">staple gun or hollow wall anchor gun </w:t>
      </w:r>
    </w:p>
    <w:p w:rsidR="00000000" w:rsidRPr="00B234CF" w:rsidP="00B234CF">
      <w:pPr>
        <w:pStyle w:val="ListBullet2"/>
      </w:pPr>
      <w:r w:rsidRPr="00B234CF">
        <w:t>planer</w:t>
      </w:r>
    </w:p>
    <w:p w:rsidR="00F66B22" w:rsidP="00B234CF">
      <w:pPr>
        <w:pStyle w:val="ListBullet"/>
      </w:pPr>
      <w:r w:rsidRPr="00B234CF">
        <w:t>complete operator maintenance on hand and power tools, including sharpening one blade or drill bit or changing the blade on a power saw or planer</w:t>
      </w:r>
    </w:p>
    <w:p w:rsidR="00F66B22" w:rsidP="00B234CF">
      <w:pPr>
        <w:pStyle w:val="ListBullet"/>
      </w:pPr>
    </w:p>
    <w:p w:rsidR="00000000" w:rsidRPr="00B234CF" w:rsidP="00B234CF">
      <w:pPr>
        <w:pStyle w:val="Heading1"/>
      </w:pPr>
      <w:bookmarkStart w:id="3" w:name="O_1246595"/>
      <w:bookmarkEnd w:id="3"/>
      <w:r w:rsidRPr="00B234CF">
        <w:t>Knowledge Evidence</w:t>
      </w:r>
    </w:p>
    <w:p w:rsidR="00000000" w:rsidRPr="00B234CF" w:rsidP="00F66B22">
      <w:pPr>
        <w:pStyle w:val="BodyText"/>
      </w:pPr>
      <w:r w:rsidRPr="00B234CF">
        <w:t>There must be evidence the candidate has knowledge of:</w:t>
      </w:r>
    </w:p>
    <w:p w:rsidR="00000000" w:rsidRPr="00B234CF" w:rsidP="00B234CF">
      <w:pPr>
        <w:pStyle w:val="ListBullet"/>
      </w:pPr>
      <w:r w:rsidRPr="00B234CF">
        <w:t>workpla</w:t>
      </w:r>
      <w:r w:rsidRPr="00B234CF">
        <w:t>ce health and safety procedures</w:t>
      </w:r>
    </w:p>
    <w:p w:rsidR="00000000" w:rsidRPr="00B234CF" w:rsidP="00B234CF">
      <w:pPr>
        <w:pStyle w:val="ListBullet"/>
      </w:pPr>
      <w:r w:rsidRPr="00B234CF">
        <w:t>general use, maintenance and safety requirements, including personal protective equipment (PPE) for hand and power tools used to manufacture and install blinds, awnings, security screens and grilles</w:t>
      </w:r>
    </w:p>
    <w:p w:rsidR="00000000" w:rsidRPr="00B234CF" w:rsidP="00B234CF">
      <w:pPr>
        <w:pStyle w:val="ListBullet"/>
      </w:pPr>
      <w:r w:rsidRPr="00B234CF">
        <w:t>workplace procedures for reporting and recording faulty hand and power tools</w:t>
      </w:r>
    </w:p>
    <w:p w:rsidR="00000000" w:rsidRPr="00B234CF" w:rsidP="00B234CF">
      <w:pPr>
        <w:pStyle w:val="ListBullet"/>
      </w:pPr>
      <w:r w:rsidRPr="00B234CF">
        <w:t>appropriate tools and safety considerations for working with materials commonly encountered in this sector, including at least 2 of the following:</w:t>
      </w:r>
    </w:p>
    <w:p w:rsidR="00000000" w:rsidRPr="00B234CF" w:rsidP="00B234CF">
      <w:pPr>
        <w:pStyle w:val="ListBullet2"/>
      </w:pPr>
      <w:r w:rsidRPr="00B234CF">
        <w:t>textiles (canvas, acrylic, PVC,</w:t>
      </w:r>
      <w:r w:rsidRPr="00B234CF">
        <w:t xml:space="preserve"> clear PVC, mesh and binding)</w:t>
      </w:r>
    </w:p>
    <w:p w:rsidR="00000000" w:rsidRPr="00B234CF" w:rsidP="00B234CF">
      <w:pPr>
        <w:pStyle w:val="ListBullet2"/>
      </w:pPr>
      <w:r w:rsidRPr="00B234CF">
        <w:t xml:space="preserve">metals (aluminium and steel in extruded or sheet form) </w:t>
      </w:r>
    </w:p>
    <w:p w:rsidR="00000000" w:rsidRPr="00B234CF" w:rsidP="00B234CF">
      <w:pPr>
        <w:pStyle w:val="ListBullet2"/>
      </w:pPr>
      <w:r w:rsidRPr="00B234CF">
        <w:t>timber</w:t>
      </w:r>
    </w:p>
    <w:p w:rsidR="00000000" w:rsidRPr="00B234CF" w:rsidP="00B234CF">
      <w:pPr>
        <w:pStyle w:val="ListBullet2"/>
      </w:pPr>
      <w:r w:rsidRPr="00B234CF">
        <w:t>synthetic, aluminium or steel screen material.</w:t>
      </w:r>
    </w:p>
    <w:p w:rsidR="00000000" w:rsidRPr="00B234CF" w:rsidP="00B234CF">
      <w:pPr>
        <w:pStyle w:val="AllowPageBreak"/>
      </w:pPr>
    </w:p>
    <w:p w:rsidR="00000000" w:rsidRPr="00B234CF" w:rsidP="00B234CF">
      <w:pPr>
        <w:pStyle w:val="Heading1"/>
      </w:pPr>
      <w:bookmarkStart w:id="4" w:name="O_1246594"/>
      <w:bookmarkEnd w:id="4"/>
      <w:r w:rsidRPr="00B234CF">
        <w:t>Assessment Conditions</w:t>
      </w:r>
    </w:p>
    <w:p w:rsidR="00000000" w:rsidRPr="00B234CF" w:rsidP="00F66B22">
      <w:pPr>
        <w:pStyle w:val="BodyText"/>
      </w:pPr>
      <w:r w:rsidRPr="00B234CF">
        <w:t>Skills must have been demonstrated in the workplace or in a simulated envir</w:t>
      </w:r>
      <w:r w:rsidRPr="00B234CF">
        <w:t>onment that reflects workplace conditions and contingencies. The following conditions must be met for this unit:</w:t>
      </w:r>
    </w:p>
    <w:p w:rsidR="00000000" w:rsidRPr="00B234CF" w:rsidP="00B234CF">
      <w:pPr>
        <w:pStyle w:val="ListBullet"/>
      </w:pPr>
      <w:r w:rsidRPr="00B234CF">
        <w:t>use of suitable facilities, equipment and resources, including:</w:t>
      </w:r>
    </w:p>
    <w:p w:rsidR="00000000" w:rsidRPr="00B234CF" w:rsidP="00B234CF">
      <w:pPr>
        <w:pStyle w:val="ListBullet2"/>
      </w:pPr>
      <w:r w:rsidRPr="00B234CF">
        <w:t>hand and power tools required for performance evidence</w:t>
      </w:r>
    </w:p>
    <w:p w:rsidR="00000000" w:rsidRPr="00B234CF" w:rsidP="00B234CF">
      <w:pPr>
        <w:pStyle w:val="ListBullet2"/>
      </w:pPr>
      <w:r w:rsidRPr="00B234CF">
        <w:t>PPE</w:t>
      </w:r>
    </w:p>
    <w:p w:rsidR="00000000" w:rsidRPr="00B234CF" w:rsidP="00B234CF">
      <w:pPr>
        <w:pStyle w:val="ListBullet2"/>
      </w:pPr>
      <w:r w:rsidRPr="00B234CF">
        <w:t>materials on which</w:t>
      </w:r>
      <w:r w:rsidRPr="00B234CF">
        <w:t xml:space="preserve"> tools are used</w:t>
      </w:r>
    </w:p>
    <w:p w:rsidR="00000000" w:rsidRPr="00B234CF" w:rsidP="00B234CF">
      <w:pPr>
        <w:pStyle w:val="ListBullet2"/>
      </w:pPr>
      <w:r w:rsidRPr="00B234CF">
        <w:t>ancillary holding equipment</w:t>
      </w:r>
    </w:p>
    <w:p w:rsidR="00000000" w:rsidRPr="00B234CF" w:rsidP="00B234CF">
      <w:pPr>
        <w:pStyle w:val="ListBullet2"/>
      </w:pPr>
      <w:r w:rsidRPr="00B234CF">
        <w:t>power sources</w:t>
      </w:r>
    </w:p>
    <w:p w:rsidR="00000000" w:rsidRPr="00B234CF" w:rsidP="00B234CF">
      <w:pPr>
        <w:pStyle w:val="ListBullet2"/>
      </w:pPr>
      <w:r w:rsidRPr="00B234CF">
        <w:t>workplace procedures.</w:t>
      </w:r>
    </w:p>
    <w:p w:rsidR="00000000" w:rsidRPr="00B234CF" w:rsidP="00B234CF">
      <w:pPr>
        <w:pStyle w:val="BodyText"/>
      </w:pPr>
    </w:p>
    <w:p w:rsidR="00000000" w:rsidRPr="00B234CF" w:rsidP="00F66B22">
      <w:pPr>
        <w:pStyle w:val="BodyText"/>
      </w:pPr>
      <w:r w:rsidRPr="00B234CF">
        <w:t>Assessors must satisfy the NVR/AQTF mandatory competency requirements for assessors.</w:t>
      </w:r>
    </w:p>
    <w:p w:rsidR="00000000" w:rsidRPr="00B234CF" w:rsidP="00B234CF">
      <w:pPr>
        <w:pStyle w:val="Heading1"/>
      </w:pPr>
      <w:bookmarkStart w:id="5" w:name="O_1246592"/>
      <w:bookmarkEnd w:id="5"/>
      <w:r w:rsidRPr="00B234CF">
        <w:t>Links</w:t>
      </w:r>
    </w:p>
    <w:p w:rsidR="00000000" w:rsidRPr="00B234CF" w:rsidP="00F66B22">
      <w:pPr>
        <w:pStyle w:val="BodyText"/>
      </w:pPr>
      <w:r w:rsidRPr="00B234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308F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234CF" w:rsidP="00B234CF"/>
    <w:sectPr w:rsidSect="00B234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4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4CF" w:rsidRPr="00F66B22" w:rsidP="00F66B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4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B22" w:rsidP="00B234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6B22" w:rsidP="00B234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66B22" w:rsidP="00B234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4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B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34CF" w:rsidRPr="00F66B22" w:rsidP="00F66B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4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B22" w:rsidRPr="002D2AF8" w:rsidP="00B234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MSFBA2012 Use blinds, awnings, security screens and grilles hand and power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66B22" w:rsidP="00B234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E8C2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9A26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184C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4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34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34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34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34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34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34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34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34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34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34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34CF"/>
  </w:style>
  <w:style w:type="character" w:customStyle="1" w:styleId="Heading1Char">
    <w:name w:val="Heading 1 Char"/>
    <w:basedOn w:val="DefaultParagraphFont"/>
    <w:link w:val="Heading1"/>
    <w:rsid w:val="00B234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34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34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34C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234C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34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34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34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34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34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34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34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34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34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34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34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34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34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34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34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34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34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34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34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34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34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34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34CF"/>
    <w:rPr>
      <w:b/>
      <w:spacing w:val="0"/>
    </w:rPr>
  </w:style>
  <w:style w:type="paragraph" w:customStyle="1" w:styleId="SuperTitle">
    <w:name w:val="SuperTitle"/>
    <w:basedOn w:val="Title"/>
    <w:rsid w:val="00B234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34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34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34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34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34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34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34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34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34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34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34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34CF"/>
    <w:rPr>
      <w:i/>
    </w:rPr>
  </w:style>
  <w:style w:type="paragraph" w:styleId="Caption">
    <w:name w:val="caption"/>
    <w:basedOn w:val="BodyText"/>
    <w:next w:val="Normal"/>
    <w:qFormat/>
    <w:rsid w:val="00B234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34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34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34CF"/>
  </w:style>
  <w:style w:type="paragraph" w:styleId="TableofFigures">
    <w:name w:val="table of figures"/>
    <w:basedOn w:val="Normal"/>
    <w:next w:val="Normal"/>
    <w:semiHidden/>
    <w:rsid w:val="00B234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34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34CF"/>
    <w:rPr>
      <w:rFonts w:ascii="Wingdings" w:hAnsi="Wingdings"/>
    </w:rPr>
  </w:style>
  <w:style w:type="paragraph" w:customStyle="1" w:styleId="TableHeading">
    <w:name w:val="Table Heading"/>
    <w:basedOn w:val="HeadingBase"/>
    <w:rsid w:val="00B234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34CF"/>
    <w:rPr>
      <w:color w:val="0033CC"/>
      <w:u w:val="none"/>
    </w:rPr>
  </w:style>
  <w:style w:type="paragraph" w:customStyle="1" w:styleId="BodyTextRight">
    <w:name w:val="Body Text Right"/>
    <w:basedOn w:val="BodyText"/>
    <w:rsid w:val="00B234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34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34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34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34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34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34CF"/>
    <w:rPr>
      <w:sz w:val="32"/>
    </w:rPr>
  </w:style>
  <w:style w:type="paragraph" w:customStyle="1" w:styleId="HeadingProcedure">
    <w:name w:val="Heading Procedure"/>
    <w:basedOn w:val="HeadingBase"/>
    <w:next w:val="Normal"/>
    <w:rsid w:val="00B234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34CF"/>
    <w:pPr>
      <w:spacing w:before="60" w:after="60"/>
    </w:pPr>
  </w:style>
  <w:style w:type="paragraph" w:styleId="ListContinue">
    <w:name w:val="List Continue"/>
    <w:basedOn w:val="List"/>
    <w:rsid w:val="00B234CF"/>
    <w:pPr>
      <w:ind w:firstLine="0"/>
    </w:pPr>
  </w:style>
  <w:style w:type="paragraph" w:customStyle="1" w:styleId="ListNote">
    <w:name w:val="List Note"/>
    <w:basedOn w:val="List"/>
    <w:rsid w:val="00B234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34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34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34CF"/>
    <w:rPr>
      <w:rFonts w:ascii="Courier New" w:hAnsi="Courier New"/>
    </w:rPr>
  </w:style>
  <w:style w:type="paragraph" w:customStyle="1" w:styleId="NoteBullet">
    <w:name w:val="Note Bullet"/>
    <w:basedOn w:val="Note"/>
    <w:rsid w:val="00B234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34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34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34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34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34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34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34CF"/>
    <w:rPr>
      <w:b/>
      <w:smallCaps/>
    </w:rPr>
  </w:style>
  <w:style w:type="paragraph" w:customStyle="1" w:styleId="TableListNumber">
    <w:name w:val="Table List Number"/>
    <w:basedOn w:val="ListNumber"/>
    <w:rsid w:val="00B234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34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34CF"/>
    <w:pPr>
      <w:numPr>
        <w:numId w:val="9"/>
      </w:numPr>
    </w:pPr>
  </w:style>
  <w:style w:type="paragraph" w:customStyle="1" w:styleId="ListAlpha2">
    <w:name w:val="List Alpha 2"/>
    <w:basedOn w:val="List2"/>
    <w:rsid w:val="00B234CF"/>
    <w:pPr>
      <w:numPr>
        <w:numId w:val="8"/>
      </w:numPr>
    </w:pPr>
  </w:style>
  <w:style w:type="paragraph" w:styleId="List2">
    <w:name w:val="List 2"/>
    <w:basedOn w:val="BodyText"/>
    <w:rsid w:val="00B234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34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34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34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34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34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34CF"/>
    <w:pPr>
      <w:numPr>
        <w:numId w:val="4"/>
      </w:numPr>
    </w:pPr>
  </w:style>
  <w:style w:type="paragraph" w:styleId="ListContinue2">
    <w:name w:val="List Continue 2"/>
    <w:basedOn w:val="List2"/>
    <w:rsid w:val="00B234CF"/>
    <w:pPr>
      <w:ind w:firstLine="0"/>
    </w:pPr>
  </w:style>
  <w:style w:type="paragraph" w:styleId="ListContinue3">
    <w:name w:val="List Continue 3"/>
    <w:basedOn w:val="List3"/>
    <w:rsid w:val="00B234CF"/>
    <w:pPr>
      <w:ind w:left="1021" w:firstLine="0"/>
    </w:pPr>
  </w:style>
  <w:style w:type="paragraph" w:styleId="ListContinue4">
    <w:name w:val="List Continue 4"/>
    <w:basedOn w:val="List4"/>
    <w:rsid w:val="00B234CF"/>
    <w:pPr>
      <w:ind w:firstLine="0"/>
    </w:pPr>
  </w:style>
  <w:style w:type="paragraph" w:styleId="ListContinue5">
    <w:name w:val="List Continue 5"/>
    <w:basedOn w:val="List5"/>
    <w:rsid w:val="00B234CF"/>
    <w:pPr>
      <w:ind w:firstLine="0"/>
    </w:pPr>
  </w:style>
  <w:style w:type="paragraph" w:styleId="ListNumber3">
    <w:name w:val="List Number 3"/>
    <w:basedOn w:val="List3"/>
    <w:rsid w:val="00B234CF"/>
    <w:pPr>
      <w:numPr>
        <w:numId w:val="5"/>
      </w:numPr>
    </w:pPr>
  </w:style>
  <w:style w:type="paragraph" w:styleId="ListNumber4">
    <w:name w:val="List Number 4"/>
    <w:basedOn w:val="List4"/>
    <w:rsid w:val="00B234CF"/>
    <w:pPr>
      <w:numPr>
        <w:numId w:val="6"/>
      </w:numPr>
    </w:pPr>
  </w:style>
  <w:style w:type="paragraph" w:styleId="ListNumber5">
    <w:name w:val="List Number 5"/>
    <w:basedOn w:val="List5"/>
    <w:rsid w:val="00B234CF"/>
    <w:pPr>
      <w:numPr>
        <w:numId w:val="7"/>
      </w:numPr>
    </w:pPr>
  </w:style>
  <w:style w:type="paragraph" w:styleId="BlockText">
    <w:name w:val="Block Text"/>
    <w:basedOn w:val="Normal"/>
    <w:rsid w:val="00B234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34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34CF"/>
    <w:rPr>
      <w:sz w:val="16"/>
      <w:vertAlign w:val="superscript"/>
    </w:rPr>
  </w:style>
  <w:style w:type="character" w:customStyle="1" w:styleId="Symbols">
    <w:name w:val="Symbols"/>
    <w:basedOn w:val="DefaultParagraphFont"/>
    <w:rsid w:val="00B234CF"/>
    <w:rPr>
      <w:rFonts w:ascii="Symbol" w:hAnsi="Symbol"/>
    </w:rPr>
  </w:style>
  <w:style w:type="character" w:customStyle="1" w:styleId="MenuOptions">
    <w:name w:val="Menu Options"/>
    <w:basedOn w:val="DefaultParagraphFont"/>
    <w:rsid w:val="00B234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34CF"/>
    <w:rPr>
      <w:b/>
    </w:rPr>
  </w:style>
  <w:style w:type="character" w:customStyle="1" w:styleId="Underlined">
    <w:name w:val="Underlined"/>
    <w:basedOn w:val="DefaultParagraphFont"/>
    <w:rsid w:val="00B234CF"/>
    <w:rPr>
      <w:u w:val="single"/>
    </w:rPr>
  </w:style>
  <w:style w:type="paragraph" w:customStyle="1" w:styleId="TableBodyTextRight">
    <w:name w:val="Table Body Text Right"/>
    <w:basedOn w:val="TableBodyText"/>
    <w:rsid w:val="00B234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34CF"/>
    <w:rPr>
      <w:sz w:val="18"/>
    </w:rPr>
  </w:style>
  <w:style w:type="paragraph" w:customStyle="1" w:styleId="BodySmallRight">
    <w:name w:val="Body Small Right"/>
    <w:basedOn w:val="BodyTextRight"/>
    <w:rsid w:val="00B234CF"/>
    <w:rPr>
      <w:sz w:val="18"/>
      <w:szCs w:val="18"/>
    </w:rPr>
  </w:style>
  <w:style w:type="paragraph" w:customStyle="1" w:styleId="MarginEdition">
    <w:name w:val="Margin Edition"/>
    <w:basedOn w:val="MarginNote"/>
    <w:rsid w:val="00B234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34CF"/>
    <w:rPr>
      <w:sz w:val="2"/>
      <w:szCs w:val="2"/>
    </w:rPr>
  </w:style>
  <w:style w:type="character" w:customStyle="1" w:styleId="Small">
    <w:name w:val="Small"/>
    <w:basedOn w:val="DefaultParagraphFont"/>
    <w:rsid w:val="00B234CF"/>
    <w:rPr>
      <w:sz w:val="16"/>
    </w:rPr>
  </w:style>
  <w:style w:type="paragraph" w:customStyle="1" w:styleId="WideTable">
    <w:name w:val="Wide Table"/>
    <w:basedOn w:val="Normal"/>
    <w:rsid w:val="00B234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34CF"/>
  </w:style>
  <w:style w:type="paragraph" w:styleId="Quote">
    <w:name w:val="Quote"/>
    <w:basedOn w:val="Heading1"/>
    <w:link w:val="QuoteChar"/>
    <w:qFormat/>
    <w:rsid w:val="00B234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34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34CF"/>
    <w:pPr>
      <w:pageBreakBefore/>
    </w:pPr>
  </w:style>
  <w:style w:type="paragraph" w:customStyle="1" w:styleId="Border">
    <w:name w:val="Border"/>
    <w:basedOn w:val="Normal"/>
    <w:qFormat/>
    <w:rsid w:val="00B234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34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4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4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34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34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34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34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34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34CF"/>
    <w:rPr>
      <w:u w:val="single"/>
    </w:rPr>
  </w:style>
  <w:style w:type="character" w:customStyle="1" w:styleId="BoldandItalics">
    <w:name w:val="Bold and Italics"/>
    <w:qFormat/>
    <w:rsid w:val="00B234CF"/>
    <w:rPr>
      <w:b/>
      <w:i/>
      <w:u w:val="none"/>
    </w:rPr>
  </w:style>
  <w:style w:type="paragraph" w:styleId="BalloonText">
    <w:name w:val="Balloon Text"/>
    <w:basedOn w:val="Normal"/>
    <w:link w:val="BalloonTextChar"/>
    <w:rsid w:val="00B234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34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34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34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34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34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34CF"/>
    <w:pPr>
      <w:spacing w:before="0" w:after="0"/>
    </w:pPr>
  </w:style>
  <w:style w:type="paragraph" w:customStyle="1" w:styleId="BodyTextBold">
    <w:name w:val="Body Text Bold"/>
    <w:basedOn w:val="BodyText"/>
    <w:qFormat/>
    <w:rsid w:val="00B234CF"/>
    <w:rPr>
      <w:b/>
    </w:rPr>
  </w:style>
  <w:style w:type="character" w:styleId="Hyperlink">
    <w:name w:val="Hyperlink"/>
    <w:basedOn w:val="DefaultParagraphFont"/>
    <w:uiPriority w:val="99"/>
    <w:unhideWhenUsed/>
    <w:rsid w:val="00F66B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2777</Characters>
  <Application>Microsoft Office Word</Application>
  <DocSecurity>0</DocSecurity>
  <Lines>86</Lines>
  <Paragraphs>73</Paragraphs>
  <ScaleCrop>false</ScaleCrop>
  <Company>Author-it Software Corporation Ltd.</Company>
  <LinksUpToDate>false</LinksUpToDate>
  <CharactersWithSpaces>3159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MSFBA2012 Use blinds, awnings, security screens and grilles hand and power tools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2022-12-21T05:46:00Z</dcterms:created>
  <dcterms:modified xsi:type="dcterms:W3CDTF">2022-12-21T05:46:00Z</dcterms:modified>
</cp:coreProperties>
</file>