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8E7" w:rsidP="00F2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MSFBA2011 Select and apply hardware and fixings for blinds, awnings, screens and grilles</w:t>
      </w:r>
      <w:r>
        <w:fldChar w:fldCharType="end"/>
      </w:r>
    </w:p>
    <w:p w:rsidR="00F208E7" w:rsidP="00F208E7">
      <w:pPr>
        <w:pStyle w:val="Version"/>
        <w:sectPr w:rsidSect="00E25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BBE" w:rsidP="00E25BBE">
      <w:pPr>
        <w:pStyle w:val="SuperHeading"/>
      </w:pPr>
      <w:r w:rsidRPr="00E25BBE">
        <w:t>MSFBA2011 Select and apply hardware and fixings for blinds, awnings, screens and grilles</w:t>
      </w:r>
    </w:p>
    <w:p w:rsidR="00000000" w:rsidRPr="00E25BBE" w:rsidP="00E25BBE">
      <w:pPr>
        <w:pStyle w:val="Heading1"/>
      </w:pPr>
      <w:bookmarkStart w:id="1" w:name="O_1088033"/>
      <w:bookmarkEnd w:id="1"/>
      <w:r w:rsidRPr="00E25BBE">
        <w:t>Modification History</w:t>
      </w:r>
    </w:p>
    <w:p w:rsidR="00000000" w:rsidRPr="00E25BBE" w:rsidP="00F208E7">
      <w:pPr>
        <w:pStyle w:val="BodyText"/>
      </w:pPr>
      <w:r w:rsidRPr="00E25BBE">
        <w:t>Release 1. Supersedes and is equivalent to MSFBA2003 Select and apply blinds and awnings hardware and fixings.</w:t>
      </w:r>
    </w:p>
    <w:p w:rsidR="00000000" w:rsidRPr="00E25BBE" w:rsidP="00E25BBE">
      <w:pPr>
        <w:pStyle w:val="Heading1"/>
      </w:pPr>
      <w:bookmarkStart w:id="2" w:name="O_1088034"/>
      <w:bookmarkEnd w:id="2"/>
      <w:r w:rsidRPr="00E25BBE">
        <w:t>Application</w:t>
      </w:r>
    </w:p>
    <w:p w:rsidR="00000000" w:rsidRPr="00E25BBE" w:rsidP="00F208E7">
      <w:pPr>
        <w:pStyle w:val="BodyText"/>
      </w:pPr>
      <w:r w:rsidRPr="00E25BBE">
        <w:t xml:space="preserve">This unit of competency describes the skills and knowledge required to select and use hardware and other fixings in the manufacture and installation of blinds, awnings, and non-security and security screens and grilles. </w:t>
      </w:r>
    </w:p>
    <w:p w:rsidR="00000000" w:rsidRPr="00E25BBE" w:rsidP="00F208E7">
      <w:pPr>
        <w:pStyle w:val="BodyText"/>
      </w:pPr>
      <w:r w:rsidRPr="00E25BBE">
        <w:t>The unit appli</w:t>
      </w:r>
      <w:r w:rsidRPr="00E25BBE">
        <w:t>es to those working in the blinds, awnings, non-security and security screens and grilles industry, in both residential and commercial environments and small to large scale enterprises.</w:t>
      </w:r>
    </w:p>
    <w:p w:rsidR="00000000" w:rsidRPr="00E25BBE" w:rsidP="00F208E7">
      <w:pPr>
        <w:pStyle w:val="BodyText"/>
      </w:pPr>
      <w:r w:rsidRPr="00E25BBE">
        <w:t xml:space="preserve">No licensing, legislative or certification requirements apply to this </w:t>
      </w:r>
      <w:r w:rsidRPr="00E25BBE">
        <w:t>unit at the time of publication.</w:t>
      </w:r>
    </w:p>
    <w:p w:rsidR="00000000" w:rsidRPr="00E25BBE" w:rsidP="00E25BBE">
      <w:pPr>
        <w:pStyle w:val="Heading1"/>
      </w:pPr>
      <w:bookmarkStart w:id="3" w:name="O_1088035"/>
      <w:bookmarkEnd w:id="3"/>
      <w:r w:rsidRPr="00E25BBE">
        <w:t>Pre-requisite Unit</w:t>
      </w:r>
    </w:p>
    <w:p w:rsidR="00000000" w:rsidRPr="00E25BBE" w:rsidP="00F208E7">
      <w:pPr>
        <w:pStyle w:val="BodyText"/>
      </w:pPr>
      <w:r w:rsidRPr="00E25BBE">
        <w:t>Not applicable.</w:t>
      </w:r>
    </w:p>
    <w:p w:rsidR="00000000" w:rsidRPr="00E25BBE" w:rsidP="00E25BBE">
      <w:pPr>
        <w:pStyle w:val="Heading1"/>
      </w:pPr>
      <w:bookmarkStart w:id="4" w:name="O_1088037"/>
      <w:bookmarkEnd w:id="4"/>
      <w:r w:rsidRPr="00E25BBE">
        <w:t>Unit Sector</w:t>
      </w:r>
    </w:p>
    <w:p w:rsidR="00000000" w:rsidRPr="00E25BBE" w:rsidP="00F208E7">
      <w:pPr>
        <w:pStyle w:val="BodyText"/>
      </w:pPr>
      <w:r w:rsidRPr="00E25BBE">
        <w:t>Blinds and awnings</w:t>
      </w:r>
    </w:p>
    <w:p w:rsidR="00000000" w:rsidRPr="00E25BBE" w:rsidP="00E25BBE">
      <w:pPr>
        <w:pStyle w:val="Heading1"/>
      </w:pPr>
      <w:bookmarkStart w:id="5" w:name="O_1088038"/>
      <w:bookmarkEnd w:id="5"/>
      <w:r w:rsidRPr="00E25B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BodyText"/>
            </w:pPr>
            <w:r w:rsidRPr="00E25BBE">
              <w:rPr>
                <w:rStyle w:val="SpecialBold"/>
              </w:rPr>
              <w:t>Elements</w:t>
            </w:r>
          </w:p>
          <w:p w:rsidR="00000000" w:rsidRPr="00E25BBE" w:rsidP="00E25BBE">
            <w:pPr>
              <w:pStyle w:val="BodyText"/>
            </w:pPr>
            <w:r w:rsidRPr="00E25BBE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BodyText"/>
            </w:pPr>
            <w:r w:rsidRPr="00E25BBE">
              <w:rPr>
                <w:rStyle w:val="SpecialBold"/>
              </w:rPr>
              <w:t>Performance Cri</w:t>
            </w:r>
            <w:r w:rsidRPr="00E25BBE">
              <w:rPr>
                <w:rStyle w:val="SpecialBold"/>
              </w:rPr>
              <w:t>teria</w:t>
            </w:r>
          </w:p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Performance criteria describe the performance needed to demonstrate achievement of the element.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1. Plan and prepare work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Identify hardware and fixing requirements from work order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Identify and select types of hardware and fixings required for the work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Identify work health and safety (WHS) requirements and personal protection requirements of job according to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1.4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 xml:space="preserve">Identify and select required tools and equipment based on </w:t>
            </w:r>
            <w:r w:rsidRPr="00E25BBE">
              <w:t>work order, and check their safe and effective operation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2. Use hardware and fittings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Lay out hardware items ready for application according to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Apply hardware and fix</w:t>
            </w:r>
            <w:r w:rsidRPr="00E25BBE">
              <w:t>ings according to work order instructions and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Check work as it progresses against quality standards and work order requirements, and rectify identified deficiencies within scope of own role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 Finalise selection and use of hardware and fixings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Clean work area and surfaces, and dispose of waste and scrap materials safely and sustainably according to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Collect and store unused hardware and fixings for re-use and dis</w:t>
            </w:r>
            <w:r w:rsidRPr="00E25BBE">
              <w:t>posal according to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Check tools and equipment, and tag and report faulty items according to established workplace procedures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Clean, maintain and store tools and equipment according to workplace procedures</w:t>
            </w:r>
            <w:r w:rsidRPr="00E25BBE">
              <w:rPr>
                <w:rStyle w:val="SpecialBold"/>
              </w:rPr>
              <w:t xml:space="preserve"> </w:t>
            </w:r>
          </w:p>
        </w:tc>
      </w:tr>
      <w:tr w:rsidTr="00E25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3.5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BodyText"/>
            </w:pPr>
            <w:r w:rsidRPr="00E25BBE">
              <w:t>Legibly complete and process required workplace documentation</w:t>
            </w:r>
          </w:p>
        </w:tc>
      </w:tr>
    </w:tbl>
    <w:p w:rsidR="00F208E7" w:rsidP="00E25BBE">
      <w:pPr>
        <w:pStyle w:val="BodyText"/>
      </w:pPr>
    </w:p>
    <w:p w:rsidR="00F208E7" w:rsidP="00E25BBE">
      <w:pPr>
        <w:pStyle w:val="BodyText"/>
      </w:pPr>
    </w:p>
    <w:p w:rsidR="00000000" w:rsidRPr="00E25BBE" w:rsidP="00E25BBE">
      <w:pPr>
        <w:pStyle w:val="Heading1"/>
      </w:pPr>
      <w:bookmarkStart w:id="6" w:name="O_1088039"/>
      <w:bookmarkEnd w:id="6"/>
      <w:r w:rsidRPr="00E25BBE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E25BBE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This section describes those language, literacy, numeracy and employment skills that are essential to performance but not explicit in the performance crit</w:t>
            </w:r>
            <w:r w:rsidRPr="00E25BBE">
              <w:t>eria of this unit of competency.</w:t>
            </w:r>
          </w:p>
        </w:tc>
      </w:tr>
      <w:tr w:rsidTr="00E25BBE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ListBullet"/>
            </w:pPr>
            <w:r w:rsidRPr="00E25BBE">
              <w:t>make familiar estimations</w:t>
            </w:r>
          </w:p>
          <w:p w:rsidR="00000000" w:rsidP="00E25BBE">
            <w:pPr>
              <w:pStyle w:val="ListBullet"/>
              <w:rPr>
                <w:lang w:val="en-NZ"/>
              </w:rPr>
            </w:pPr>
            <w:r w:rsidRPr="00E25BBE">
              <w:t>measure familiar and predictable quantities and units</w:t>
            </w:r>
          </w:p>
        </w:tc>
      </w:tr>
      <w:tr w:rsidTr="00E25BBE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ListBullet"/>
            </w:pPr>
            <w:r w:rsidRPr="00E25BBE">
              <w:t>communicate with site supervisor to:</w:t>
            </w:r>
          </w:p>
          <w:p w:rsidR="00000000" w:rsidRPr="00E25BBE" w:rsidP="00E25BBE">
            <w:pPr>
              <w:pStyle w:val="ListBullet2"/>
            </w:pPr>
            <w:r w:rsidRPr="00E25BBE">
              <w:t>confirm work orders and instructions</w:t>
            </w:r>
          </w:p>
          <w:p w:rsidR="00000000" w:rsidRPr="00E25BBE" w:rsidP="00E25BBE">
            <w:pPr>
              <w:pStyle w:val="ListBullet2"/>
            </w:pPr>
            <w:r w:rsidRPr="00E25BBE">
              <w:t>identify and discuss problems</w:t>
            </w:r>
          </w:p>
          <w:p w:rsidR="00000000" w:rsidP="00E25BBE">
            <w:pPr>
              <w:pStyle w:val="ListBullet"/>
              <w:rPr>
                <w:lang w:val="en-NZ"/>
              </w:rPr>
            </w:pPr>
            <w:r w:rsidRPr="00E25BBE">
              <w:t>communicate with others in work area</w:t>
            </w:r>
          </w:p>
        </w:tc>
      </w:tr>
      <w:tr w:rsidTr="00E25BBE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ListBullet"/>
              <w:rPr>
                <w:lang w:val="en-NZ"/>
              </w:rPr>
            </w:pPr>
            <w:r w:rsidRPr="00E25BBE">
              <w:t>interpret routine workplace documentation, including work orders, WHS requirements, and workplace procedures</w:t>
            </w:r>
          </w:p>
        </w:tc>
      </w:tr>
      <w:tr w:rsidTr="00E25BBE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BE">
            <w:pPr>
              <w:pStyle w:val="BodyText"/>
              <w:rPr>
                <w:lang w:val="en-NZ"/>
              </w:rPr>
            </w:pPr>
            <w:r w:rsidRPr="00E25BBE">
              <w:t>Technology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BE" w:rsidP="00E25BBE">
            <w:pPr>
              <w:pStyle w:val="ListBullet"/>
            </w:pPr>
            <w:r w:rsidRPr="00E25BBE">
              <w:t>use workplace technology to select and apply hardware and fixings, including specified tools, equipment, calculators, and measuring devices</w:t>
            </w:r>
          </w:p>
        </w:tc>
      </w:tr>
    </w:tbl>
    <w:p w:rsidR="00000000" w:rsidRPr="00E25BBE" w:rsidP="00E25BBE">
      <w:pPr>
        <w:pStyle w:val="BodyText"/>
      </w:pPr>
    </w:p>
    <w:p w:rsidR="00000000" w:rsidRPr="00E25BBE" w:rsidP="00E25BBE">
      <w:pPr>
        <w:pStyle w:val="AllowPageBreak"/>
      </w:pPr>
    </w:p>
    <w:p w:rsidR="00000000" w:rsidRPr="00E25BBE" w:rsidP="00E25BBE">
      <w:pPr>
        <w:pStyle w:val="Heading1"/>
      </w:pPr>
      <w:bookmarkStart w:id="7" w:name="O_1088041"/>
      <w:bookmarkEnd w:id="7"/>
      <w:r w:rsidRPr="00E25BBE">
        <w:t>Unit Mapping Information</w:t>
      </w:r>
    </w:p>
    <w:p w:rsidR="00000000" w:rsidRPr="00E25BBE" w:rsidP="00F208E7">
      <w:pPr>
        <w:pStyle w:val="BodyText"/>
      </w:pPr>
      <w:r w:rsidRPr="00E25BBE">
        <w:t xml:space="preserve">Release 1. Supersedes and is equivalent to MSFBA2003 Select and apply </w:t>
      </w:r>
      <w:r w:rsidRPr="00E25BBE">
        <w:t>blinds and awnings hardware and fixings.</w:t>
      </w:r>
    </w:p>
    <w:p w:rsidR="00000000" w:rsidRPr="00E25BBE" w:rsidP="00E25BBE">
      <w:pPr>
        <w:pStyle w:val="Heading1"/>
      </w:pPr>
      <w:bookmarkStart w:id="8" w:name="O_1088048"/>
      <w:bookmarkEnd w:id="8"/>
      <w:r w:rsidRPr="00E25BBE">
        <w:t>Links</w:t>
      </w:r>
    </w:p>
    <w:p w:rsidR="00000000" w:rsidRPr="00E25BBE" w:rsidP="00F208E7">
      <w:pPr>
        <w:pStyle w:val="BodyText"/>
      </w:pPr>
      <w:r w:rsidRPr="00E25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454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25BBE" w:rsidP="00E25BBE"/>
    <w:sectPr w:rsidSect="00E25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E" w:rsidRPr="00F208E7" w:rsidP="00F2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E7" w:rsidP="00E25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8E7" w:rsidP="00E25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08E7" w:rsidP="00E25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BBE" w:rsidRPr="00F208E7" w:rsidP="00F20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E7" w:rsidRPr="002D2AF8" w:rsidP="00E25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MSFBA2011 Select and apply hardware and fixings for blinds, awnings,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208E7" w:rsidP="00E25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987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F26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87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BBE"/>
  </w:style>
  <w:style w:type="character" w:customStyle="1" w:styleId="Heading1Char">
    <w:name w:val="Heading 1 Char"/>
    <w:basedOn w:val="DefaultParagraphFont"/>
    <w:link w:val="Heading1"/>
    <w:rsid w:val="00E25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BBE"/>
    <w:rPr>
      <w:b/>
      <w:spacing w:val="0"/>
    </w:rPr>
  </w:style>
  <w:style w:type="paragraph" w:styleId="ListBullet2">
    <w:name w:val="List Bullet 2"/>
    <w:basedOn w:val="List2"/>
    <w:rsid w:val="00E25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BBE"/>
    <w:rPr>
      <w:i/>
    </w:rPr>
  </w:style>
  <w:style w:type="paragraph" w:styleId="Caption">
    <w:name w:val="caption"/>
    <w:basedOn w:val="BodyText"/>
    <w:next w:val="Normal"/>
    <w:qFormat/>
    <w:rsid w:val="00E25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BBE"/>
  </w:style>
  <w:style w:type="paragraph" w:styleId="TableofFigures">
    <w:name w:val="table of figures"/>
    <w:basedOn w:val="Normal"/>
    <w:next w:val="Normal"/>
    <w:semiHidden/>
    <w:rsid w:val="00E25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BBE"/>
    <w:rPr>
      <w:rFonts w:ascii="Wingdings" w:hAnsi="Wingdings"/>
    </w:rPr>
  </w:style>
  <w:style w:type="paragraph" w:customStyle="1" w:styleId="TableHeading">
    <w:name w:val="Table Heading"/>
    <w:basedOn w:val="HeadingBase"/>
    <w:rsid w:val="00E25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BBE"/>
    <w:rPr>
      <w:color w:val="0033CC"/>
      <w:u w:val="none"/>
    </w:rPr>
  </w:style>
  <w:style w:type="paragraph" w:customStyle="1" w:styleId="BodyTextRight">
    <w:name w:val="Body Text Right"/>
    <w:basedOn w:val="BodyText"/>
    <w:rsid w:val="00E25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BBE"/>
    <w:rPr>
      <w:sz w:val="32"/>
    </w:rPr>
  </w:style>
  <w:style w:type="paragraph" w:customStyle="1" w:styleId="HeadingProcedure">
    <w:name w:val="Heading Procedure"/>
    <w:basedOn w:val="HeadingBase"/>
    <w:next w:val="Normal"/>
    <w:rsid w:val="00E25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BBE"/>
    <w:pPr>
      <w:spacing w:before="60" w:after="60"/>
    </w:pPr>
  </w:style>
  <w:style w:type="paragraph" w:styleId="ListContinue">
    <w:name w:val="List Continue"/>
    <w:basedOn w:val="List"/>
    <w:rsid w:val="00E25BBE"/>
    <w:pPr>
      <w:ind w:firstLine="0"/>
    </w:pPr>
  </w:style>
  <w:style w:type="paragraph" w:customStyle="1" w:styleId="ListNote">
    <w:name w:val="List Note"/>
    <w:basedOn w:val="List"/>
    <w:rsid w:val="00E25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BBE"/>
    <w:rPr>
      <w:rFonts w:ascii="Courier New" w:hAnsi="Courier New"/>
    </w:rPr>
  </w:style>
  <w:style w:type="paragraph" w:customStyle="1" w:styleId="NoteBullet">
    <w:name w:val="Note Bullet"/>
    <w:basedOn w:val="Note"/>
    <w:rsid w:val="00E25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BBE"/>
    <w:rPr>
      <w:b/>
      <w:smallCaps/>
    </w:rPr>
  </w:style>
  <w:style w:type="paragraph" w:customStyle="1" w:styleId="TableListNumber">
    <w:name w:val="Table List Number"/>
    <w:basedOn w:val="ListNumber"/>
    <w:rsid w:val="00E25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BBE"/>
    <w:pPr>
      <w:numPr>
        <w:numId w:val="9"/>
      </w:numPr>
    </w:pPr>
  </w:style>
  <w:style w:type="paragraph" w:customStyle="1" w:styleId="ListAlpha2">
    <w:name w:val="List Alpha 2"/>
    <w:basedOn w:val="List2"/>
    <w:rsid w:val="00E25BBE"/>
    <w:pPr>
      <w:numPr>
        <w:numId w:val="8"/>
      </w:numPr>
    </w:pPr>
  </w:style>
  <w:style w:type="paragraph" w:styleId="List2">
    <w:name w:val="List 2"/>
    <w:basedOn w:val="BodyText"/>
    <w:rsid w:val="00E25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BBE"/>
    <w:pPr>
      <w:numPr>
        <w:numId w:val="4"/>
      </w:numPr>
    </w:pPr>
  </w:style>
  <w:style w:type="paragraph" w:styleId="ListContinue2">
    <w:name w:val="List Continue 2"/>
    <w:basedOn w:val="List2"/>
    <w:rsid w:val="00E25BBE"/>
    <w:pPr>
      <w:ind w:firstLine="0"/>
    </w:pPr>
  </w:style>
  <w:style w:type="paragraph" w:styleId="ListContinue3">
    <w:name w:val="List Continue 3"/>
    <w:basedOn w:val="List3"/>
    <w:rsid w:val="00E25BBE"/>
    <w:pPr>
      <w:ind w:left="1021" w:firstLine="0"/>
    </w:pPr>
  </w:style>
  <w:style w:type="paragraph" w:styleId="ListContinue4">
    <w:name w:val="List Continue 4"/>
    <w:basedOn w:val="List4"/>
    <w:rsid w:val="00E25BBE"/>
    <w:pPr>
      <w:ind w:firstLine="0"/>
    </w:pPr>
  </w:style>
  <w:style w:type="paragraph" w:styleId="ListContinue5">
    <w:name w:val="List Continue 5"/>
    <w:basedOn w:val="List5"/>
    <w:rsid w:val="00E25BBE"/>
    <w:pPr>
      <w:ind w:firstLine="0"/>
    </w:pPr>
  </w:style>
  <w:style w:type="paragraph" w:styleId="ListNumber3">
    <w:name w:val="List Number 3"/>
    <w:basedOn w:val="List3"/>
    <w:rsid w:val="00E25BBE"/>
    <w:pPr>
      <w:numPr>
        <w:numId w:val="5"/>
      </w:numPr>
    </w:pPr>
  </w:style>
  <w:style w:type="paragraph" w:styleId="ListNumber4">
    <w:name w:val="List Number 4"/>
    <w:basedOn w:val="List4"/>
    <w:rsid w:val="00E25BBE"/>
    <w:pPr>
      <w:numPr>
        <w:numId w:val="6"/>
      </w:numPr>
    </w:pPr>
  </w:style>
  <w:style w:type="paragraph" w:styleId="ListNumber5">
    <w:name w:val="List Number 5"/>
    <w:basedOn w:val="List5"/>
    <w:rsid w:val="00E25BBE"/>
    <w:pPr>
      <w:numPr>
        <w:numId w:val="7"/>
      </w:numPr>
    </w:pPr>
  </w:style>
  <w:style w:type="paragraph" w:styleId="BlockText">
    <w:name w:val="Block Text"/>
    <w:basedOn w:val="Normal"/>
    <w:rsid w:val="00E25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BBE"/>
    <w:rPr>
      <w:sz w:val="16"/>
      <w:vertAlign w:val="superscript"/>
    </w:rPr>
  </w:style>
  <w:style w:type="character" w:customStyle="1" w:styleId="Symbols">
    <w:name w:val="Symbols"/>
    <w:basedOn w:val="DefaultParagraphFont"/>
    <w:rsid w:val="00E25BBE"/>
    <w:rPr>
      <w:rFonts w:ascii="Symbol" w:hAnsi="Symbol"/>
    </w:rPr>
  </w:style>
  <w:style w:type="character" w:customStyle="1" w:styleId="MenuOptions">
    <w:name w:val="Menu Options"/>
    <w:basedOn w:val="DefaultParagraphFont"/>
    <w:rsid w:val="00E25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BBE"/>
    <w:rPr>
      <w:b/>
    </w:rPr>
  </w:style>
  <w:style w:type="character" w:customStyle="1" w:styleId="Underlined">
    <w:name w:val="Underlined"/>
    <w:basedOn w:val="DefaultParagraphFont"/>
    <w:rsid w:val="00E25BBE"/>
    <w:rPr>
      <w:u w:val="single"/>
    </w:rPr>
  </w:style>
  <w:style w:type="paragraph" w:customStyle="1" w:styleId="TableBodyTextRight">
    <w:name w:val="Table Body Text Right"/>
    <w:basedOn w:val="TableBodyText"/>
    <w:rsid w:val="00E25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BBE"/>
    <w:rPr>
      <w:sz w:val="18"/>
    </w:rPr>
  </w:style>
  <w:style w:type="paragraph" w:customStyle="1" w:styleId="BodySmallRight">
    <w:name w:val="Body Small Right"/>
    <w:basedOn w:val="BodyTextRight"/>
    <w:rsid w:val="00E25BBE"/>
    <w:rPr>
      <w:sz w:val="18"/>
      <w:szCs w:val="18"/>
    </w:rPr>
  </w:style>
  <w:style w:type="paragraph" w:customStyle="1" w:styleId="MarginEdition">
    <w:name w:val="Margin Edition"/>
    <w:basedOn w:val="MarginNote"/>
    <w:rsid w:val="00E25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BBE"/>
    <w:rPr>
      <w:sz w:val="2"/>
      <w:szCs w:val="2"/>
    </w:rPr>
  </w:style>
  <w:style w:type="character" w:customStyle="1" w:styleId="Small">
    <w:name w:val="Small"/>
    <w:basedOn w:val="DefaultParagraphFont"/>
    <w:rsid w:val="00E25BBE"/>
    <w:rPr>
      <w:sz w:val="16"/>
    </w:rPr>
  </w:style>
  <w:style w:type="paragraph" w:customStyle="1" w:styleId="WideTable">
    <w:name w:val="Wide Table"/>
    <w:basedOn w:val="Normal"/>
    <w:rsid w:val="00E25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BBE"/>
  </w:style>
  <w:style w:type="paragraph" w:styleId="Quote">
    <w:name w:val="Quote"/>
    <w:basedOn w:val="Heading1"/>
    <w:link w:val="QuoteChar"/>
    <w:qFormat/>
    <w:rsid w:val="00E25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BBE"/>
    <w:pPr>
      <w:pageBreakBefore/>
    </w:pPr>
  </w:style>
  <w:style w:type="paragraph" w:customStyle="1" w:styleId="Border">
    <w:name w:val="Border"/>
    <w:basedOn w:val="Normal"/>
    <w:qFormat/>
    <w:rsid w:val="00E25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BBE"/>
    <w:rPr>
      <w:u w:val="single"/>
    </w:rPr>
  </w:style>
  <w:style w:type="character" w:customStyle="1" w:styleId="BoldandItalics">
    <w:name w:val="Bold and Italics"/>
    <w:qFormat/>
    <w:rsid w:val="00E25BBE"/>
    <w:rPr>
      <w:b/>
      <w:i/>
      <w:u w:val="none"/>
    </w:rPr>
  </w:style>
  <w:style w:type="paragraph" w:styleId="BalloonText">
    <w:name w:val="Balloon Text"/>
    <w:basedOn w:val="Normal"/>
    <w:link w:val="BalloonTextChar"/>
    <w:rsid w:val="00E25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BBE"/>
    <w:pPr>
      <w:spacing w:before="0" w:after="0"/>
    </w:pPr>
  </w:style>
  <w:style w:type="paragraph" w:customStyle="1" w:styleId="BodyTextBold">
    <w:name w:val="Body Text Bold"/>
    <w:basedOn w:val="BodyText"/>
    <w:qFormat/>
    <w:rsid w:val="00E25BBE"/>
    <w:rPr>
      <w:b/>
    </w:rPr>
  </w:style>
  <w:style w:type="character" w:styleId="Hyperlink">
    <w:name w:val="Hyperlink"/>
    <w:basedOn w:val="DefaultParagraphFont"/>
    <w:uiPriority w:val="99"/>
    <w:unhideWhenUsed/>
    <w:rsid w:val="00F20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3188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MSFBA2011 Select and apply hardware and fixings for blinds, awnings,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