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2EA" w:rsidP="000232EA">
      <w:pPr>
        <w:pStyle w:val="Title"/>
      </w:pPr>
      <w:r>
        <w:fldChar w:fldCharType="begin"/>
      </w:r>
      <w:r>
        <w:instrText xml:space="preserve"> TITLE   \* MERGEFORMAT </w:instrText>
      </w:r>
      <w:r>
        <w:fldChar w:fldCharType="separate"/>
      </w:r>
      <w:r>
        <w:t>MSFBA2007 Construct plastic and timber Venetian-style blinds</w:t>
      </w:r>
      <w:r>
        <w:fldChar w:fldCharType="end"/>
      </w:r>
    </w:p>
    <w:p w:rsidR="000232EA" w:rsidP="000232EA">
      <w:pPr>
        <w:pStyle w:val="Version"/>
        <w:sectPr w:rsidSect="000B3F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3FD9" w:rsidP="000B3FD9">
      <w:pPr>
        <w:pStyle w:val="SuperHeading"/>
      </w:pPr>
      <w:r w:rsidRPr="000B3FD9">
        <w:t>MSFBA2007 Construct plastic and timber Venetian-style blinds</w:t>
      </w:r>
    </w:p>
    <w:p w:rsidR="00000000" w:rsidRPr="000B3FD9" w:rsidP="000B3FD9">
      <w:pPr>
        <w:pStyle w:val="Heading1"/>
      </w:pPr>
      <w:bookmarkStart w:id="1" w:name="O_629971"/>
      <w:bookmarkEnd w:id="1"/>
      <w:r w:rsidRPr="000B3FD9">
        <w:t>Modification History</w:t>
      </w:r>
    </w:p>
    <w:p w:rsidR="00000000" w:rsidRPr="000B3FD9" w:rsidP="000232EA">
      <w:pPr>
        <w:pStyle w:val="BodyText"/>
      </w:pPr>
      <w:r w:rsidRPr="000B3FD9">
        <w:t>Release 1 - New unit of competency</w:t>
      </w:r>
    </w:p>
    <w:p w:rsidR="00000000" w:rsidRPr="000B3FD9" w:rsidP="000B3FD9">
      <w:pPr>
        <w:pStyle w:val="Heading1"/>
      </w:pPr>
      <w:bookmarkStart w:id="2" w:name="O_629979"/>
      <w:bookmarkEnd w:id="2"/>
      <w:r w:rsidRPr="000B3FD9">
        <w:t>Application</w:t>
      </w:r>
    </w:p>
    <w:p w:rsidR="00000000" w:rsidRPr="000B3FD9" w:rsidP="000232EA">
      <w:pPr>
        <w:pStyle w:val="BodyText"/>
      </w:pPr>
      <w:r w:rsidRPr="000B3FD9">
        <w:t>This unit of competency covers constructing plastic and timber Venetian-style blinds. It applies to small to large scale enterprises.</w:t>
      </w:r>
    </w:p>
    <w:p w:rsidR="00000000" w:rsidRPr="000B3FD9" w:rsidP="000232EA">
      <w:pPr>
        <w:pStyle w:val="BodyText"/>
      </w:pPr>
      <w:r w:rsidRPr="000B3FD9">
        <w:t>No licensing, legisl</w:t>
      </w:r>
      <w:r w:rsidRPr="000B3FD9">
        <w:t>ative or certification requirements apply to this unit at the time of publication.</w:t>
      </w:r>
    </w:p>
    <w:p w:rsidR="00000000" w:rsidRPr="000B3FD9" w:rsidP="000B3FD9">
      <w:pPr>
        <w:pStyle w:val="Heading1"/>
      </w:pPr>
      <w:bookmarkStart w:id="3" w:name="O_629978"/>
      <w:bookmarkEnd w:id="3"/>
      <w:r w:rsidRPr="000B3FD9">
        <w:t>Pre-requisite Unit</w:t>
      </w:r>
    </w:p>
    <w:p w:rsidR="00000000" w:rsidRPr="000B3FD9" w:rsidP="000B3FD9">
      <w:pPr>
        <w:pStyle w:val="Heading1"/>
      </w:pPr>
      <w:bookmarkStart w:id="4" w:name="O_629977"/>
      <w:bookmarkEnd w:id="4"/>
      <w:r w:rsidRPr="000B3FD9">
        <w:t>Competency Field</w:t>
      </w:r>
    </w:p>
    <w:p w:rsidR="00000000" w:rsidRPr="000B3FD9" w:rsidP="000B3FD9">
      <w:pPr>
        <w:pStyle w:val="Heading1"/>
      </w:pPr>
      <w:bookmarkStart w:id="5" w:name="O_629976"/>
      <w:bookmarkEnd w:id="5"/>
      <w:r w:rsidRPr="000B3FD9">
        <w:t>Unit Sector</w:t>
      </w:r>
    </w:p>
    <w:p w:rsidR="00000000" w:rsidRPr="000B3FD9" w:rsidP="000232EA">
      <w:pPr>
        <w:pStyle w:val="BodyText"/>
      </w:pPr>
      <w:r w:rsidRPr="000B3FD9">
        <w:t>Blinds and awnings</w:t>
      </w:r>
    </w:p>
    <w:p w:rsidR="00000000" w:rsidRPr="000B3FD9" w:rsidP="000B3FD9">
      <w:pPr>
        <w:pStyle w:val="Heading1"/>
      </w:pPr>
      <w:bookmarkStart w:id="6" w:name="O_629975"/>
      <w:bookmarkEnd w:id="6"/>
      <w:r w:rsidRPr="000B3FD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B3FD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Elemen</w:t>
            </w:r>
            <w:r w:rsidRPr="000B3FD9">
              <w:t>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Performance criteria describe the performance needed to demonstrate achievement of the element.</w:t>
            </w:r>
          </w:p>
        </w:tc>
      </w:tr>
      <w:tr w:rsidTr="000B3FD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1</w:t>
            </w:r>
          </w:p>
        </w:tc>
        <w:tc>
          <w:tcPr>
            <w:tcW w:w="1962" w:type="dxa"/>
            <w:vMerge w:val="restart"/>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Establish work requirements and prepare for work</w:t>
            </w:r>
          </w:p>
        </w:tc>
        <w:tc>
          <w:tcPr>
            <w:tcW w:w="77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1.1</w:t>
            </w:r>
          </w:p>
        </w:tc>
        <w:tc>
          <w:tcPr>
            <w:tcW w:w="561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Work health and safety (WHS) requirements, legislative requirements and workplace practices are observed throughout the work</w:t>
            </w:r>
          </w:p>
        </w:tc>
      </w:tr>
      <w:tr w:rsidTr="000B3F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1.2</w:t>
            </w:r>
          </w:p>
        </w:tc>
        <w:tc>
          <w:tcPr>
            <w:tcW w:w="561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Personal protective equipment is selected and used</w:t>
            </w:r>
          </w:p>
        </w:tc>
      </w:tr>
      <w:tr w:rsidTr="000B3F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1.3</w:t>
            </w:r>
          </w:p>
        </w:tc>
        <w:tc>
          <w:tcPr>
            <w:tcW w:w="561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Work order is reviewed, confirmed and clarified with appropriate personnel</w:t>
            </w:r>
          </w:p>
        </w:tc>
      </w:tr>
      <w:tr w:rsidTr="000B3F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1.4</w:t>
            </w:r>
          </w:p>
        </w:tc>
        <w:tc>
          <w:tcPr>
            <w:tcW w:w="561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Materials, hardware and fixings are selected and checked against work orders</w:t>
            </w:r>
          </w:p>
        </w:tc>
      </w:tr>
      <w:tr w:rsidTr="000B3FD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2</w:t>
            </w:r>
          </w:p>
        </w:tc>
        <w:tc>
          <w:tcPr>
            <w:tcW w:w="1962" w:type="dxa"/>
            <w:vMerge w:val="restart"/>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Measure, mark and cut slats</w:t>
            </w:r>
          </w:p>
        </w:tc>
        <w:tc>
          <w:tcPr>
            <w:tcW w:w="77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2.1</w:t>
            </w:r>
          </w:p>
        </w:tc>
        <w:tc>
          <w:tcPr>
            <w:tcW w:w="561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Slats are measured to length, marked and cut</w:t>
            </w:r>
          </w:p>
        </w:tc>
      </w:tr>
      <w:tr w:rsidTr="000B3F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2.2</w:t>
            </w:r>
          </w:p>
        </w:tc>
        <w:tc>
          <w:tcPr>
            <w:tcW w:w="561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Cord holes are accurately punched in slats</w:t>
            </w:r>
          </w:p>
        </w:tc>
      </w:tr>
      <w:tr w:rsidTr="000B3F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2.3</w:t>
            </w:r>
          </w:p>
        </w:tc>
        <w:tc>
          <w:tcPr>
            <w:tcW w:w="561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Slats are finished as required according to work order</w:t>
            </w:r>
          </w:p>
        </w:tc>
      </w:tr>
      <w:tr w:rsidTr="000B3FD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3</w:t>
            </w:r>
          </w:p>
        </w:tc>
        <w:tc>
          <w:tcPr>
            <w:tcW w:w="1962" w:type="dxa"/>
            <w:vMerge w:val="restart"/>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Assemble blind</w:t>
            </w:r>
          </w:p>
        </w:tc>
        <w:tc>
          <w:tcPr>
            <w:tcW w:w="77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3.1</w:t>
            </w:r>
          </w:p>
        </w:tc>
        <w:tc>
          <w:tcPr>
            <w:tcW w:w="561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Head rail components, bottom rails and tilt rod are selected and cut</w:t>
            </w:r>
          </w:p>
        </w:tc>
      </w:tr>
      <w:tr w:rsidTr="000B3F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3.2</w:t>
            </w:r>
          </w:p>
        </w:tc>
        <w:tc>
          <w:tcPr>
            <w:tcW w:w="561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Head rails are assembled according to manufacturer instructions or workplace practices</w:t>
            </w:r>
          </w:p>
        </w:tc>
      </w:tr>
      <w:tr w:rsidTr="000B3F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3.3</w:t>
            </w:r>
          </w:p>
        </w:tc>
        <w:tc>
          <w:tcPr>
            <w:tcW w:w="561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Correct spacing according to spacing charts for Venetian-style blind slats is determined</w:t>
            </w:r>
          </w:p>
        </w:tc>
      </w:tr>
      <w:tr w:rsidTr="000B3F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3.4</w:t>
            </w:r>
          </w:p>
        </w:tc>
        <w:tc>
          <w:tcPr>
            <w:tcW w:w="561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Cords and ladder braids are selected and attached to head rail com</w:t>
            </w:r>
            <w:r w:rsidRPr="000B3FD9">
              <w:t>ponents</w:t>
            </w:r>
          </w:p>
        </w:tc>
      </w:tr>
      <w:tr w:rsidTr="000B3F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3.5</w:t>
            </w:r>
          </w:p>
        </w:tc>
        <w:tc>
          <w:tcPr>
            <w:tcW w:w="561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Hardware is attached according to work instructions</w:t>
            </w:r>
          </w:p>
        </w:tc>
      </w:tr>
      <w:tr w:rsidTr="000B3F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3.6</w:t>
            </w:r>
          </w:p>
        </w:tc>
        <w:tc>
          <w:tcPr>
            <w:tcW w:w="561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Slats are threaded through ladder tapes</w:t>
            </w:r>
          </w:p>
        </w:tc>
      </w:tr>
      <w:tr w:rsidTr="000B3F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3.7</w:t>
            </w:r>
          </w:p>
        </w:tc>
        <w:tc>
          <w:tcPr>
            <w:tcW w:w="561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Measuring tape is used to confirm final size and blind adjusted</w:t>
            </w:r>
          </w:p>
        </w:tc>
      </w:tr>
      <w:tr w:rsidTr="000B3F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3.8</w:t>
            </w:r>
          </w:p>
        </w:tc>
        <w:tc>
          <w:tcPr>
            <w:tcW w:w="561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Bottom rail is attached to blind</w:t>
            </w:r>
          </w:p>
        </w:tc>
      </w:tr>
      <w:tr w:rsidTr="000B3F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3.9</w:t>
            </w:r>
          </w:p>
        </w:tc>
        <w:tc>
          <w:tcPr>
            <w:tcW w:w="561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Cords are threaded through slats and attached</w:t>
            </w:r>
          </w:p>
        </w:tc>
      </w:tr>
      <w:tr w:rsidTr="000B3F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3.10</w:t>
            </w:r>
          </w:p>
        </w:tc>
        <w:tc>
          <w:tcPr>
            <w:tcW w:w="561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Child safety mechanisms as required by legislation or codes of practice are selected and attached</w:t>
            </w:r>
          </w:p>
        </w:tc>
      </w:tr>
      <w:tr w:rsidTr="000B3FD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4</w:t>
            </w:r>
          </w:p>
        </w:tc>
        <w:tc>
          <w:tcPr>
            <w:tcW w:w="1962" w:type="dxa"/>
            <w:vMerge w:val="restart"/>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Make quality checks</w:t>
            </w:r>
          </w:p>
        </w:tc>
        <w:tc>
          <w:tcPr>
            <w:tcW w:w="77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4.1</w:t>
            </w:r>
          </w:p>
        </w:tc>
        <w:tc>
          <w:tcPr>
            <w:tcW w:w="561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 xml:space="preserve">Finished blind is checked ensuring length, width, slat size and colour match </w:t>
            </w:r>
            <w:r w:rsidRPr="000B3FD9">
              <w:t>work order</w:t>
            </w:r>
          </w:p>
        </w:tc>
      </w:tr>
      <w:tr w:rsidTr="000B3F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4.2</w:t>
            </w:r>
          </w:p>
        </w:tc>
        <w:tc>
          <w:tcPr>
            <w:tcW w:w="561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Finished blind is tested within limits of correct operation for correct operation and parts of the work that do not comply with work order are repaired or re-worked</w:t>
            </w:r>
          </w:p>
        </w:tc>
      </w:tr>
      <w:tr w:rsidTr="000B3FD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5</w:t>
            </w:r>
          </w:p>
        </w:tc>
        <w:tc>
          <w:tcPr>
            <w:tcW w:w="1962" w:type="dxa"/>
            <w:vMerge w:val="restart"/>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Complete work</w:t>
            </w:r>
          </w:p>
        </w:tc>
        <w:tc>
          <w:tcPr>
            <w:tcW w:w="77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5.1</w:t>
            </w:r>
          </w:p>
        </w:tc>
        <w:tc>
          <w:tcPr>
            <w:tcW w:w="561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Finished work is cleaned, protected and stored following workplace practices</w:t>
            </w:r>
          </w:p>
        </w:tc>
      </w:tr>
      <w:tr w:rsidTr="000B3F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5.2</w:t>
            </w:r>
          </w:p>
        </w:tc>
        <w:tc>
          <w:tcPr>
            <w:tcW w:w="561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Tools and equipment are cleaned, maintained and stored</w:t>
            </w:r>
          </w:p>
        </w:tc>
      </w:tr>
      <w:tr w:rsidTr="000B3F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5.3</w:t>
            </w:r>
          </w:p>
        </w:tc>
        <w:tc>
          <w:tcPr>
            <w:tcW w:w="561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Faulty tools and equipment are reported to appropriate personnel</w:t>
            </w:r>
          </w:p>
        </w:tc>
      </w:tr>
      <w:tr w:rsidTr="000B3F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5.4</w:t>
            </w:r>
          </w:p>
        </w:tc>
        <w:tc>
          <w:tcPr>
            <w:tcW w:w="561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Work area is cleaned and waste is disposed of in accordance with workplace practices and environmental legislation covering disposal of industrial waste</w:t>
            </w:r>
          </w:p>
        </w:tc>
      </w:tr>
      <w:tr w:rsidTr="000B3F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5.5</w:t>
            </w:r>
          </w:p>
        </w:tc>
        <w:tc>
          <w:tcPr>
            <w:tcW w:w="5610" w:type="dxa"/>
            <w:tcBorders>
              <w:top w:val="nil"/>
              <w:left w:val="nil"/>
              <w:bottom w:val="nil"/>
              <w:right w:val="nil"/>
            </w:tcBorders>
            <w:tcMar>
              <w:top w:w="0" w:type="dxa"/>
              <w:left w:w="62" w:type="dxa"/>
              <w:bottom w:w="0" w:type="dxa"/>
              <w:right w:w="62" w:type="dxa"/>
            </w:tcMar>
          </w:tcPr>
          <w:p w:rsidR="00000000" w:rsidRPr="000B3FD9" w:rsidP="000B3FD9">
            <w:pPr>
              <w:pStyle w:val="BodyText"/>
            </w:pPr>
            <w:r w:rsidRPr="000B3FD9">
              <w:t>Workplace documentation is completed</w:t>
            </w:r>
          </w:p>
        </w:tc>
      </w:tr>
    </w:tbl>
    <w:p w:rsidR="000232EA" w:rsidP="000B3FD9">
      <w:pPr>
        <w:pStyle w:val="BodyText"/>
      </w:pPr>
    </w:p>
    <w:p w:rsidR="000232EA" w:rsidP="000B3FD9">
      <w:pPr>
        <w:pStyle w:val="BodyText"/>
      </w:pPr>
    </w:p>
    <w:p w:rsidR="00000000" w:rsidRPr="000B3FD9" w:rsidP="000B3FD9">
      <w:pPr>
        <w:pStyle w:val="Heading1"/>
      </w:pPr>
      <w:bookmarkStart w:id="7" w:name="O_629974"/>
      <w:bookmarkEnd w:id="7"/>
      <w:r w:rsidRPr="000B3FD9">
        <w:t>Foundation Skills</w:t>
      </w:r>
    </w:p>
    <w:p w:rsidR="000232EA" w:rsidP="000232EA">
      <w:pPr>
        <w:pStyle w:val="BodyText"/>
      </w:pPr>
      <w:r w:rsidRPr="000B3FD9">
        <w:t>Foundation skills ess</w:t>
      </w:r>
      <w:r w:rsidRPr="000B3FD9">
        <w:t>ential to performance are explicit in the performance criteria of this unit of competency. Detail on appropriate performance levels for each furnishing unit of competency in reading, writing, oral communication and numeracy utilising the Australian Core Sk</w:t>
      </w:r>
      <w:r w:rsidRPr="000B3FD9">
        <w:t xml:space="preserve">ills Framework (ACSF) are provided in the Furnishing Training Package Implementation Guide. </w:t>
      </w:r>
    </w:p>
    <w:p w:rsidR="00000000" w:rsidRPr="000B3FD9" w:rsidP="000B3FD9">
      <w:pPr>
        <w:pStyle w:val="Heading1"/>
      </w:pPr>
      <w:bookmarkStart w:id="8" w:name="O_629973"/>
      <w:bookmarkEnd w:id="8"/>
      <w:r w:rsidRPr="000B3FD9">
        <w:t>Range of Conditions</w:t>
      </w:r>
    </w:p>
    <w:tbl>
      <w:tblPr>
        <w:tblW w:w="0" w:type="auto"/>
        <w:tblLayout w:type="fixed"/>
        <w:tblCellMar>
          <w:left w:w="62" w:type="dxa"/>
          <w:right w:w="62" w:type="dxa"/>
        </w:tblCellMar>
        <w:tblLook w:val="0000"/>
      </w:tblPr>
      <w:tblGrid>
        <w:gridCol w:w="2760"/>
        <w:gridCol w:w="6312"/>
      </w:tblGrid>
      <w:tr w:rsidTr="000B3F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t>Specifies different work environments and conditions that may affect performance. Essential operating conditions that may be present (depending on the work situation, needs of the candidate, accessibility of the item, and local industry and regional contex</w:t>
            </w:r>
            <w:r w:rsidRPr="000B3FD9">
              <w:t>ts) are included. Range is restricted to essential operating conditions and any other variables essential to the work environment.</w:t>
            </w:r>
          </w:p>
        </w:tc>
      </w:tr>
      <w:tr w:rsidTr="000B3F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0B3FD9" w:rsidP="000B3FD9">
            <w:pPr>
              <w:pStyle w:val="ListBullet"/>
            </w:pPr>
            <w:r w:rsidRPr="000B3FD9">
              <w:t>Commonwealth, state or territory legislation and regulations</w:t>
            </w:r>
          </w:p>
          <w:p w:rsidR="00000000" w:rsidRPr="000B3FD9" w:rsidP="000B3FD9">
            <w:pPr>
              <w:pStyle w:val="ListBullet"/>
            </w:pPr>
            <w:r w:rsidRPr="000B3FD9">
              <w:t xml:space="preserve">organisational safety policies and </w:t>
            </w:r>
            <w:r w:rsidRPr="000B3FD9">
              <w:t>procedures</w:t>
            </w:r>
          </w:p>
          <w:p w:rsidR="00000000" w:rsidRPr="000B3FD9" w:rsidP="000B3FD9">
            <w:pPr>
              <w:pStyle w:val="ListBullet"/>
            </w:pPr>
            <w:r w:rsidRPr="000B3FD9">
              <w:t>the use of personal protective equipment and clothing</w:t>
            </w:r>
          </w:p>
          <w:p w:rsidR="00000000" w:rsidRPr="000B3FD9" w:rsidP="000B3FD9">
            <w:pPr>
              <w:pStyle w:val="ListBullet"/>
            </w:pPr>
            <w:r w:rsidRPr="000B3FD9">
              <w:t>firefighting equipment</w:t>
            </w:r>
          </w:p>
          <w:p w:rsidR="00000000" w:rsidRPr="000B3FD9" w:rsidP="000B3FD9">
            <w:pPr>
              <w:pStyle w:val="ListBullet"/>
            </w:pPr>
            <w:r w:rsidRPr="000B3FD9">
              <w:t>first aid equipment</w:t>
            </w:r>
          </w:p>
          <w:p w:rsidR="00000000" w:rsidRPr="000B3FD9" w:rsidP="000B3FD9">
            <w:pPr>
              <w:pStyle w:val="ListBullet"/>
            </w:pPr>
            <w:r w:rsidRPr="000B3FD9">
              <w:t>hazard and risk control and elimination of hazardous materials and substances</w:t>
            </w:r>
          </w:p>
          <w:p w:rsidR="00000000" w:rsidP="000B3FD9">
            <w:pPr>
              <w:pStyle w:val="ListBullet"/>
              <w:rPr>
                <w:lang w:val="en-NZ"/>
              </w:rPr>
            </w:pPr>
            <w:r w:rsidRPr="000B3FD9">
              <w:t>manual handling, including lifting and carrying</w:t>
            </w:r>
          </w:p>
        </w:tc>
      </w:tr>
      <w:tr w:rsidTr="000B3F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rPr>
                <w:rStyle w:val="SpecialBold"/>
              </w:rPr>
              <w:t>Legislative requi</w:t>
            </w:r>
            <w:r w:rsidRPr="000B3FD9">
              <w:rPr>
                <w:rStyle w:val="SpecialBold"/>
              </w:rPr>
              <w:t>rements include:</w:t>
            </w:r>
          </w:p>
        </w:tc>
        <w:tc>
          <w:tcPr>
            <w:tcW w:w="6312" w:type="dxa"/>
            <w:tcBorders>
              <w:top w:val="nil"/>
              <w:left w:val="nil"/>
              <w:bottom w:val="nil"/>
              <w:right w:val="nil"/>
            </w:tcBorders>
            <w:tcMar>
              <w:top w:w="0" w:type="dxa"/>
              <w:left w:w="62" w:type="dxa"/>
              <w:bottom w:w="0" w:type="dxa"/>
              <w:right w:w="62" w:type="dxa"/>
            </w:tcMar>
          </w:tcPr>
          <w:p w:rsidR="00000000" w:rsidRPr="000B3FD9" w:rsidP="000B3FD9">
            <w:pPr>
              <w:pStyle w:val="ListBullet"/>
            </w:pPr>
            <w:r w:rsidRPr="000B3FD9">
              <w:t>applicable legislation from all levels of government that affect organisational operation</w:t>
            </w:r>
          </w:p>
          <w:p w:rsidR="00000000" w:rsidRPr="000B3FD9" w:rsidP="000B3FD9">
            <w:pPr>
              <w:pStyle w:val="ListBullet"/>
            </w:pPr>
            <w:r w:rsidRPr="000B3FD9">
              <w:t>award and enterprise agreements</w:t>
            </w:r>
          </w:p>
          <w:p w:rsidR="00000000" w:rsidRPr="000B3FD9" w:rsidP="000B3FD9">
            <w:pPr>
              <w:pStyle w:val="ListBullet"/>
            </w:pPr>
            <w:r w:rsidRPr="000B3FD9">
              <w:t>industrial relations</w:t>
            </w:r>
          </w:p>
          <w:p w:rsidR="00000000" w:rsidRPr="000B3FD9" w:rsidP="000B3FD9">
            <w:pPr>
              <w:pStyle w:val="ListBullet"/>
            </w:pPr>
            <w:r w:rsidRPr="000B3FD9">
              <w:t>Australian Standards</w:t>
            </w:r>
          </w:p>
          <w:p w:rsidR="00000000" w:rsidRPr="000B3FD9" w:rsidP="000B3FD9">
            <w:pPr>
              <w:pStyle w:val="ListBullet"/>
            </w:pPr>
            <w:r w:rsidRPr="000B3FD9">
              <w:t>confidentiality and privacy</w:t>
            </w:r>
          </w:p>
          <w:p w:rsidR="00000000" w:rsidRPr="000B3FD9" w:rsidP="000B3FD9">
            <w:pPr>
              <w:pStyle w:val="ListBullet"/>
            </w:pPr>
            <w:r w:rsidRPr="000B3FD9">
              <w:t>the environment</w:t>
            </w:r>
          </w:p>
          <w:p w:rsidR="00000000" w:rsidRPr="000B3FD9" w:rsidP="000B3FD9">
            <w:pPr>
              <w:pStyle w:val="ListBullet"/>
            </w:pPr>
            <w:r w:rsidRPr="000B3FD9">
              <w:t>equal employment opportunity (</w:t>
            </w:r>
            <w:r w:rsidRPr="000B3FD9">
              <w:t>EEO)</w:t>
            </w:r>
          </w:p>
          <w:p w:rsidR="00000000" w:rsidRPr="000B3FD9" w:rsidP="000B3FD9">
            <w:pPr>
              <w:pStyle w:val="ListBullet"/>
            </w:pPr>
            <w:r w:rsidRPr="000B3FD9">
              <w:t>anti-discrimination</w:t>
            </w:r>
          </w:p>
          <w:p w:rsidR="00000000" w:rsidRPr="000B3FD9" w:rsidP="000B3FD9">
            <w:pPr>
              <w:pStyle w:val="ListBullet"/>
            </w:pPr>
            <w:r w:rsidRPr="000B3FD9">
              <w:t>relevant industry codes of practice</w:t>
            </w:r>
          </w:p>
          <w:p w:rsidR="00000000" w:rsidP="000B3FD9">
            <w:pPr>
              <w:pStyle w:val="ListBullet"/>
              <w:rPr>
                <w:lang w:val="en-NZ"/>
              </w:rPr>
            </w:pPr>
            <w:r w:rsidRPr="000B3FD9">
              <w:t>duty of care and heritage</w:t>
            </w:r>
          </w:p>
        </w:tc>
      </w:tr>
      <w:tr w:rsidTr="000B3F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0B3FD9" w:rsidP="000B3FD9">
            <w:pPr>
              <w:pStyle w:val="ListBullet"/>
            </w:pPr>
            <w:r w:rsidRPr="000B3FD9">
              <w:t>legal, organisational and site guidelines</w:t>
            </w:r>
          </w:p>
          <w:p w:rsidR="00000000" w:rsidRPr="000B3FD9" w:rsidP="000B3FD9">
            <w:pPr>
              <w:pStyle w:val="ListBullet"/>
            </w:pPr>
            <w:r w:rsidRPr="000B3FD9">
              <w:t>policies and procedures relating to own role and responsibility</w:t>
            </w:r>
          </w:p>
          <w:p w:rsidR="00000000" w:rsidRPr="000B3FD9" w:rsidP="000B3FD9">
            <w:pPr>
              <w:pStyle w:val="ListBullet"/>
            </w:pPr>
            <w:r w:rsidRPr="000B3FD9">
              <w:t>quality assurance</w:t>
            </w:r>
          </w:p>
          <w:p w:rsidR="00000000" w:rsidRPr="000B3FD9" w:rsidP="000B3FD9">
            <w:pPr>
              <w:pStyle w:val="ListBullet"/>
            </w:pPr>
            <w:r w:rsidRPr="000B3FD9">
              <w:t>procedural manuals</w:t>
            </w:r>
          </w:p>
          <w:p w:rsidR="00000000" w:rsidRPr="000B3FD9" w:rsidP="000B3FD9">
            <w:pPr>
              <w:pStyle w:val="ListBullet"/>
            </w:pPr>
            <w:r w:rsidRPr="000B3FD9">
              <w:t>quality and continuous improvement processes and standards</w:t>
            </w:r>
          </w:p>
          <w:p w:rsidR="00000000" w:rsidRPr="000B3FD9" w:rsidP="000B3FD9">
            <w:pPr>
              <w:pStyle w:val="ListBullet"/>
            </w:pPr>
            <w:r w:rsidRPr="000B3FD9">
              <w:t>emergency and evacuation</w:t>
            </w:r>
          </w:p>
          <w:p w:rsidR="00000000" w:rsidRPr="000B3FD9" w:rsidP="000B3FD9">
            <w:pPr>
              <w:pStyle w:val="ListBullet"/>
            </w:pPr>
            <w:r w:rsidRPr="000B3FD9">
              <w:t>ethical standards</w:t>
            </w:r>
          </w:p>
          <w:p w:rsidR="00000000" w:rsidRPr="000B3FD9" w:rsidP="000B3FD9">
            <w:pPr>
              <w:pStyle w:val="ListBullet"/>
            </w:pPr>
            <w:r w:rsidRPr="000B3FD9">
              <w:t>recording and reporting</w:t>
            </w:r>
          </w:p>
          <w:p w:rsidR="00000000" w:rsidRPr="000B3FD9" w:rsidP="000B3FD9">
            <w:pPr>
              <w:pStyle w:val="ListBullet"/>
            </w:pPr>
            <w:r w:rsidRPr="000B3FD9">
              <w:t>access and equity principles and practices</w:t>
            </w:r>
          </w:p>
          <w:p w:rsidR="00000000" w:rsidRPr="000B3FD9" w:rsidP="000B3FD9">
            <w:pPr>
              <w:pStyle w:val="ListBullet"/>
            </w:pPr>
            <w:r w:rsidRPr="000B3FD9">
              <w:t>equipment use, maintenance and storage</w:t>
            </w:r>
          </w:p>
          <w:p w:rsidR="00000000" w:rsidRPr="000B3FD9" w:rsidP="000B3FD9">
            <w:pPr>
              <w:pStyle w:val="ListBullet"/>
            </w:pPr>
            <w:r w:rsidRPr="000B3FD9">
              <w:t>environmental management (was</w:t>
            </w:r>
            <w:r w:rsidRPr="000B3FD9">
              <w:t>te disposal, recycling and re-use guidelines)</w:t>
            </w:r>
          </w:p>
          <w:p w:rsidR="00000000" w:rsidRPr="000B3FD9" w:rsidP="000B3FD9">
            <w:pPr>
              <w:pStyle w:val="ListBullet"/>
            </w:pPr>
            <w:r w:rsidRPr="000B3FD9">
              <w:t xml:space="preserve">tolerances </w:t>
            </w:r>
          </w:p>
          <w:p w:rsidR="00000000" w:rsidP="000B3FD9">
            <w:pPr>
              <w:pStyle w:val="ListBullet"/>
              <w:rPr>
                <w:lang w:val="en-NZ"/>
              </w:rPr>
            </w:pPr>
            <w:r w:rsidRPr="000B3FD9">
              <w:t>following manufacturer instructions</w:t>
            </w:r>
          </w:p>
        </w:tc>
      </w:tr>
      <w:tr w:rsidTr="000B3F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0B3FD9" w:rsidP="000B3FD9">
            <w:pPr>
              <w:pStyle w:val="ListBullet"/>
            </w:pPr>
            <w:r w:rsidRPr="000B3FD9">
              <w:t>safety glasses/goggles</w:t>
            </w:r>
          </w:p>
          <w:p w:rsidR="00000000" w:rsidRPr="000B3FD9" w:rsidP="000B3FD9">
            <w:pPr>
              <w:pStyle w:val="ListBullet"/>
            </w:pPr>
            <w:r w:rsidRPr="000B3FD9">
              <w:t>hearing protection</w:t>
            </w:r>
          </w:p>
          <w:p w:rsidR="00000000" w:rsidRPr="000B3FD9" w:rsidP="000B3FD9">
            <w:pPr>
              <w:pStyle w:val="ListBullet"/>
            </w:pPr>
            <w:r w:rsidRPr="000B3FD9">
              <w:t>safety footwear</w:t>
            </w:r>
          </w:p>
          <w:p w:rsidR="00000000" w:rsidRPr="000B3FD9" w:rsidP="000B3FD9">
            <w:pPr>
              <w:pStyle w:val="ListBullet"/>
            </w:pPr>
            <w:r w:rsidRPr="000B3FD9">
              <w:t xml:space="preserve">protective clothing </w:t>
            </w:r>
          </w:p>
          <w:p w:rsidR="00000000" w:rsidP="000B3FD9">
            <w:pPr>
              <w:pStyle w:val="ListBullet"/>
              <w:rPr>
                <w:lang w:val="en-NZ"/>
              </w:rPr>
            </w:pPr>
            <w:r w:rsidRPr="000B3FD9">
              <w:t>respiratory protection</w:t>
            </w:r>
          </w:p>
        </w:tc>
      </w:tr>
      <w:tr w:rsidTr="000B3F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rPr>
                <w:rStyle w:val="SpecialBold"/>
              </w:rPr>
              <w:t>Work order includes:</w:t>
            </w:r>
          </w:p>
        </w:tc>
        <w:tc>
          <w:tcPr>
            <w:tcW w:w="6312" w:type="dxa"/>
            <w:tcBorders>
              <w:top w:val="nil"/>
              <w:left w:val="nil"/>
              <w:bottom w:val="nil"/>
              <w:right w:val="nil"/>
            </w:tcBorders>
            <w:tcMar>
              <w:top w:w="0" w:type="dxa"/>
              <w:left w:w="62" w:type="dxa"/>
              <w:bottom w:w="0" w:type="dxa"/>
              <w:right w:w="62" w:type="dxa"/>
            </w:tcMar>
          </w:tcPr>
          <w:p w:rsidR="00000000" w:rsidRPr="000B3FD9" w:rsidP="000B3FD9">
            <w:pPr>
              <w:pStyle w:val="ListBullet"/>
            </w:pPr>
            <w:r w:rsidRPr="000B3FD9">
              <w:t>customer order forms</w:t>
            </w:r>
          </w:p>
          <w:p w:rsidR="00000000" w:rsidRPr="000B3FD9" w:rsidP="000B3FD9">
            <w:pPr>
              <w:pStyle w:val="ListBullet"/>
            </w:pPr>
            <w:r w:rsidRPr="000B3FD9">
              <w:t>job cards</w:t>
            </w:r>
          </w:p>
          <w:p w:rsidR="00000000" w:rsidRPr="000B3FD9" w:rsidP="000B3FD9">
            <w:pPr>
              <w:pStyle w:val="ListBullet"/>
            </w:pPr>
            <w:r w:rsidRPr="000B3FD9">
              <w:t xml:space="preserve">quotations for work </w:t>
            </w:r>
          </w:p>
          <w:p w:rsidR="00000000" w:rsidRPr="000B3FD9" w:rsidP="000B3FD9">
            <w:pPr>
              <w:pStyle w:val="ListBullet"/>
            </w:pPr>
            <w:r w:rsidRPr="000B3FD9">
              <w:t>worksheets</w:t>
            </w:r>
          </w:p>
          <w:p w:rsidR="00000000" w:rsidP="000B3FD9">
            <w:pPr>
              <w:pStyle w:val="ListBullet"/>
              <w:rPr>
                <w:lang w:val="en-NZ"/>
              </w:rPr>
            </w:pPr>
            <w:r w:rsidRPr="000B3FD9">
              <w:t>specifications, including design, size, colour and quantity</w:t>
            </w:r>
          </w:p>
        </w:tc>
      </w:tr>
      <w:tr w:rsidTr="000B3F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0B3FD9" w:rsidP="000B3FD9">
            <w:pPr>
              <w:pStyle w:val="ListBullet"/>
            </w:pPr>
            <w:r w:rsidRPr="000B3FD9">
              <w:t>supervisors</w:t>
            </w:r>
          </w:p>
          <w:p w:rsidR="00000000" w:rsidRPr="000B3FD9" w:rsidP="000B3FD9">
            <w:pPr>
              <w:pStyle w:val="ListBullet"/>
            </w:pPr>
            <w:r w:rsidRPr="000B3FD9">
              <w:t>suppliers</w:t>
            </w:r>
          </w:p>
          <w:p w:rsidR="00000000" w:rsidRPr="000B3FD9" w:rsidP="000B3FD9">
            <w:pPr>
              <w:pStyle w:val="ListBullet"/>
            </w:pPr>
            <w:r w:rsidRPr="000B3FD9">
              <w:t>clients</w:t>
            </w:r>
          </w:p>
          <w:p w:rsidR="00000000" w:rsidRPr="000B3FD9" w:rsidP="000B3FD9">
            <w:pPr>
              <w:pStyle w:val="ListBullet"/>
            </w:pPr>
            <w:r w:rsidRPr="000B3FD9">
              <w:t xml:space="preserve">colleagues </w:t>
            </w:r>
          </w:p>
          <w:p w:rsidR="00000000" w:rsidP="000B3FD9">
            <w:pPr>
              <w:pStyle w:val="ListBullet"/>
              <w:rPr>
                <w:lang w:val="en-NZ"/>
              </w:rPr>
            </w:pPr>
            <w:r w:rsidRPr="000B3FD9">
              <w:t>managers or any person responsible f</w:t>
            </w:r>
            <w:r w:rsidRPr="000B3FD9">
              <w:t>or the work activity</w:t>
            </w:r>
          </w:p>
        </w:tc>
      </w:tr>
      <w:tr w:rsidTr="000B3F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0B3FD9" w:rsidP="000B3FD9">
            <w:pPr>
              <w:pStyle w:val="ListBullet"/>
            </w:pPr>
            <w:r w:rsidRPr="000B3FD9">
              <w:t xml:space="preserve">plastic </w:t>
            </w:r>
          </w:p>
          <w:p w:rsidR="00000000" w:rsidP="000B3FD9">
            <w:pPr>
              <w:pStyle w:val="ListBullet"/>
              <w:rPr>
                <w:lang w:val="en-NZ"/>
              </w:rPr>
            </w:pPr>
            <w:r w:rsidRPr="000B3FD9">
              <w:t>timber</w:t>
            </w:r>
          </w:p>
        </w:tc>
      </w:tr>
      <w:tr w:rsidTr="000B3F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rPr>
                <w:rStyle w:val="SpecialBold"/>
              </w:rPr>
              <w:t>Hardware and fixings include:</w:t>
            </w:r>
          </w:p>
        </w:tc>
        <w:tc>
          <w:tcPr>
            <w:tcW w:w="6312" w:type="dxa"/>
            <w:tcBorders>
              <w:top w:val="nil"/>
              <w:left w:val="nil"/>
              <w:bottom w:val="nil"/>
              <w:right w:val="nil"/>
            </w:tcBorders>
            <w:tcMar>
              <w:top w:w="0" w:type="dxa"/>
              <w:left w:w="62" w:type="dxa"/>
              <w:bottom w:w="0" w:type="dxa"/>
              <w:right w:w="62" w:type="dxa"/>
            </w:tcMar>
          </w:tcPr>
          <w:p w:rsidR="00000000" w:rsidRPr="000B3FD9" w:rsidP="000B3FD9">
            <w:pPr>
              <w:pStyle w:val="ListBullet"/>
            </w:pPr>
            <w:r w:rsidRPr="000B3FD9">
              <w:t>ladder braid</w:t>
            </w:r>
          </w:p>
          <w:p w:rsidR="00000000" w:rsidRPr="000B3FD9" w:rsidP="000B3FD9">
            <w:pPr>
              <w:pStyle w:val="ListBullet"/>
            </w:pPr>
            <w:r w:rsidRPr="000B3FD9">
              <w:t>cord</w:t>
            </w:r>
          </w:p>
          <w:p w:rsidR="00000000" w:rsidRPr="000B3FD9" w:rsidP="000B3FD9">
            <w:pPr>
              <w:pStyle w:val="ListBullet"/>
            </w:pPr>
            <w:r w:rsidRPr="000B3FD9">
              <w:t>head rails</w:t>
            </w:r>
          </w:p>
          <w:p w:rsidR="00000000" w:rsidRPr="000B3FD9" w:rsidP="000B3FD9">
            <w:pPr>
              <w:pStyle w:val="ListBullet"/>
            </w:pPr>
            <w:r w:rsidRPr="000B3FD9">
              <w:t>rollers</w:t>
            </w:r>
          </w:p>
          <w:p w:rsidR="00000000" w:rsidRPr="000B3FD9" w:rsidP="000B3FD9">
            <w:pPr>
              <w:pStyle w:val="ListBullet"/>
            </w:pPr>
            <w:r w:rsidRPr="000B3FD9">
              <w:t>cord locks</w:t>
            </w:r>
          </w:p>
          <w:p w:rsidR="00000000" w:rsidRPr="000B3FD9" w:rsidP="000B3FD9">
            <w:pPr>
              <w:pStyle w:val="ListBullet"/>
            </w:pPr>
            <w:r w:rsidRPr="000B3FD9">
              <w:t>tilt mechanisms</w:t>
            </w:r>
          </w:p>
          <w:p w:rsidR="00000000" w:rsidRPr="000B3FD9" w:rsidP="000B3FD9">
            <w:pPr>
              <w:pStyle w:val="ListBullet"/>
            </w:pPr>
            <w:r w:rsidRPr="000B3FD9">
              <w:t>tilt rods</w:t>
            </w:r>
          </w:p>
          <w:p w:rsidR="00000000" w:rsidRPr="000B3FD9" w:rsidP="000B3FD9">
            <w:pPr>
              <w:pStyle w:val="ListBullet"/>
            </w:pPr>
            <w:r w:rsidRPr="000B3FD9">
              <w:t>wands</w:t>
            </w:r>
          </w:p>
          <w:p w:rsidR="00000000" w:rsidRPr="000B3FD9" w:rsidP="000B3FD9">
            <w:pPr>
              <w:pStyle w:val="ListBullet"/>
            </w:pPr>
            <w:r w:rsidRPr="000B3FD9">
              <w:t>acorns</w:t>
            </w:r>
          </w:p>
          <w:p w:rsidR="00000000" w:rsidRPr="000B3FD9" w:rsidP="000B3FD9">
            <w:pPr>
              <w:pStyle w:val="ListBullet"/>
            </w:pPr>
            <w:r w:rsidRPr="000B3FD9">
              <w:t xml:space="preserve">trumpets </w:t>
            </w:r>
          </w:p>
          <w:p w:rsidR="00000000" w:rsidP="000B3FD9">
            <w:pPr>
              <w:pStyle w:val="ListBullet"/>
              <w:rPr>
                <w:lang w:val="en-NZ"/>
              </w:rPr>
            </w:pPr>
            <w:r w:rsidRPr="000B3FD9">
              <w:t>motors</w:t>
            </w:r>
          </w:p>
        </w:tc>
      </w:tr>
      <w:tr w:rsidTr="000B3F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rPr>
                <w:rStyle w:val="SpecialBold"/>
              </w:rPr>
              <w:t>Punching includes:</w:t>
            </w:r>
          </w:p>
        </w:tc>
        <w:tc>
          <w:tcPr>
            <w:tcW w:w="6312" w:type="dxa"/>
            <w:tcBorders>
              <w:top w:val="nil"/>
              <w:left w:val="nil"/>
              <w:bottom w:val="nil"/>
              <w:right w:val="nil"/>
            </w:tcBorders>
            <w:tcMar>
              <w:top w:w="0" w:type="dxa"/>
              <w:left w:w="62" w:type="dxa"/>
              <w:bottom w:w="0" w:type="dxa"/>
              <w:right w:w="62" w:type="dxa"/>
            </w:tcMar>
          </w:tcPr>
          <w:p w:rsidR="00000000" w:rsidP="000B3FD9">
            <w:pPr>
              <w:pStyle w:val="ListBullet"/>
              <w:rPr>
                <w:lang w:val="en-NZ"/>
              </w:rPr>
            </w:pPr>
            <w:r w:rsidRPr="000B3FD9">
              <w:t>use of single or multi-stage punching machines</w:t>
            </w:r>
          </w:p>
        </w:tc>
      </w:tr>
      <w:tr w:rsidTr="000B3F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rPr>
                <w:rStyle w:val="SpecialBold"/>
              </w:rPr>
              <w:t>Finishing includes:</w:t>
            </w:r>
          </w:p>
        </w:tc>
        <w:tc>
          <w:tcPr>
            <w:tcW w:w="6312" w:type="dxa"/>
            <w:tcBorders>
              <w:top w:val="nil"/>
              <w:left w:val="nil"/>
              <w:bottom w:val="nil"/>
              <w:right w:val="nil"/>
            </w:tcBorders>
            <w:tcMar>
              <w:top w:w="0" w:type="dxa"/>
              <w:left w:w="62" w:type="dxa"/>
              <w:bottom w:w="0" w:type="dxa"/>
              <w:right w:w="62" w:type="dxa"/>
            </w:tcMar>
          </w:tcPr>
          <w:p w:rsidR="00000000" w:rsidRPr="000B3FD9" w:rsidP="000B3FD9">
            <w:pPr>
              <w:pStyle w:val="ListBullet"/>
            </w:pPr>
            <w:r w:rsidRPr="000B3FD9">
              <w:t>lacquering</w:t>
            </w:r>
          </w:p>
          <w:p w:rsidR="00000000" w:rsidRPr="000B3FD9" w:rsidP="000B3FD9">
            <w:pPr>
              <w:pStyle w:val="ListBullet"/>
            </w:pPr>
            <w:r w:rsidRPr="000B3FD9">
              <w:t>oiling</w:t>
            </w:r>
          </w:p>
          <w:p w:rsidR="00000000" w:rsidRPr="000B3FD9" w:rsidP="000B3FD9">
            <w:pPr>
              <w:pStyle w:val="ListBullet"/>
            </w:pPr>
            <w:r w:rsidRPr="000B3FD9">
              <w:t xml:space="preserve">painting </w:t>
            </w:r>
          </w:p>
          <w:p w:rsidR="00000000" w:rsidP="000B3FD9">
            <w:pPr>
              <w:pStyle w:val="ListBullet"/>
              <w:rPr>
                <w:lang w:val="en-NZ"/>
              </w:rPr>
            </w:pPr>
            <w:r w:rsidRPr="000B3FD9">
              <w:t>staining</w:t>
            </w:r>
          </w:p>
        </w:tc>
      </w:tr>
      <w:tr w:rsidTr="000B3F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rPr>
                <w:rStyle w:val="SpecialBold"/>
              </w:rPr>
              <w:t>Head rail components include:</w:t>
            </w:r>
          </w:p>
        </w:tc>
        <w:tc>
          <w:tcPr>
            <w:tcW w:w="6312" w:type="dxa"/>
            <w:tcBorders>
              <w:top w:val="nil"/>
              <w:left w:val="nil"/>
              <w:bottom w:val="nil"/>
              <w:right w:val="nil"/>
            </w:tcBorders>
            <w:tcMar>
              <w:top w:w="0" w:type="dxa"/>
              <w:left w:w="62" w:type="dxa"/>
              <w:bottom w:w="0" w:type="dxa"/>
              <w:right w:w="62" w:type="dxa"/>
            </w:tcMar>
          </w:tcPr>
          <w:p w:rsidR="00000000" w:rsidRPr="000B3FD9" w:rsidP="000B3FD9">
            <w:pPr>
              <w:pStyle w:val="ListBullet"/>
            </w:pPr>
            <w:r w:rsidRPr="000B3FD9">
              <w:t>rollers</w:t>
            </w:r>
          </w:p>
          <w:p w:rsidR="00000000" w:rsidRPr="000B3FD9" w:rsidP="000B3FD9">
            <w:pPr>
              <w:pStyle w:val="ListBullet"/>
            </w:pPr>
            <w:r w:rsidRPr="000B3FD9">
              <w:t xml:space="preserve">cord lock </w:t>
            </w:r>
          </w:p>
          <w:p w:rsidR="00000000" w:rsidP="000B3FD9">
            <w:pPr>
              <w:pStyle w:val="ListBullet"/>
              <w:rPr>
                <w:lang w:val="en-NZ"/>
              </w:rPr>
            </w:pPr>
            <w:r w:rsidRPr="000B3FD9">
              <w:t>tilt mechanisms</w:t>
            </w:r>
          </w:p>
        </w:tc>
      </w:tr>
      <w:tr w:rsidTr="000B3F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rPr>
                <w:rStyle w:val="SpecialBold"/>
              </w:rPr>
              <w:t>Manufacturer instructions include:</w:t>
            </w:r>
          </w:p>
        </w:tc>
        <w:tc>
          <w:tcPr>
            <w:tcW w:w="6312" w:type="dxa"/>
            <w:tcBorders>
              <w:top w:val="nil"/>
              <w:left w:val="nil"/>
              <w:bottom w:val="nil"/>
              <w:right w:val="nil"/>
            </w:tcBorders>
            <w:tcMar>
              <w:top w:w="0" w:type="dxa"/>
              <w:left w:w="62" w:type="dxa"/>
              <w:bottom w:w="0" w:type="dxa"/>
              <w:right w:w="62" w:type="dxa"/>
            </w:tcMar>
          </w:tcPr>
          <w:p w:rsidR="00000000" w:rsidP="000B3FD9">
            <w:pPr>
              <w:pStyle w:val="ListBullet"/>
              <w:rPr>
                <w:lang w:val="en-NZ"/>
              </w:rPr>
            </w:pPr>
            <w:r w:rsidRPr="000B3FD9">
              <w:t>written instruction booklets or instructions on the hardware or packaging</w:t>
            </w:r>
          </w:p>
        </w:tc>
      </w:tr>
      <w:tr w:rsidTr="000B3F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0B3FD9">
            <w:pPr>
              <w:pStyle w:val="ListBullet"/>
              <w:rPr>
                <w:lang w:val="en-NZ"/>
              </w:rPr>
            </w:pPr>
            <w:r w:rsidRPr="000B3FD9">
              <w:t>instructions for the construction of plastic or timber Venetian-style blinds</w:t>
            </w:r>
          </w:p>
        </w:tc>
      </w:tr>
      <w:tr w:rsidTr="000B3F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0B3FD9" w:rsidP="000B3FD9">
            <w:pPr>
              <w:pStyle w:val="ListBullet"/>
            </w:pPr>
            <w:r w:rsidRPr="000B3FD9">
              <w:t>plastic</w:t>
            </w:r>
          </w:p>
          <w:p w:rsidR="00000000" w:rsidRPr="000B3FD9" w:rsidP="000B3FD9">
            <w:pPr>
              <w:pStyle w:val="ListBullet"/>
            </w:pPr>
            <w:r w:rsidRPr="000B3FD9">
              <w:t xml:space="preserve">metal </w:t>
            </w:r>
          </w:p>
          <w:p w:rsidR="00000000" w:rsidP="000B3FD9">
            <w:pPr>
              <w:pStyle w:val="ListBullet"/>
              <w:rPr>
                <w:lang w:val="en-NZ"/>
              </w:rPr>
            </w:pPr>
            <w:r w:rsidRPr="000B3FD9">
              <w:t>timber</w:t>
            </w:r>
          </w:p>
        </w:tc>
      </w:tr>
      <w:tr w:rsidTr="000B3F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3FD9">
            <w:pPr>
              <w:pStyle w:val="BodyText"/>
              <w:rPr>
                <w:lang w:val="en-NZ"/>
              </w:rPr>
            </w:pPr>
            <w:r w:rsidRPr="000B3FD9">
              <w:rPr>
                <w:rStyle w:val="SpecialBold"/>
              </w:rPr>
              <w:t>Documentation includes:</w:t>
            </w:r>
          </w:p>
        </w:tc>
        <w:tc>
          <w:tcPr>
            <w:tcW w:w="6312" w:type="dxa"/>
            <w:tcBorders>
              <w:top w:val="nil"/>
              <w:left w:val="nil"/>
              <w:bottom w:val="nil"/>
              <w:right w:val="nil"/>
            </w:tcBorders>
            <w:tcMar>
              <w:top w:w="0" w:type="dxa"/>
              <w:left w:w="62" w:type="dxa"/>
              <w:bottom w:w="0" w:type="dxa"/>
              <w:right w:w="62" w:type="dxa"/>
            </w:tcMar>
          </w:tcPr>
          <w:p w:rsidR="00000000" w:rsidRPr="000B3FD9" w:rsidP="000B3FD9">
            <w:pPr>
              <w:pStyle w:val="ListBullet"/>
            </w:pPr>
            <w:r w:rsidRPr="000B3FD9">
              <w:t>time sheet</w:t>
            </w:r>
            <w:r w:rsidRPr="000B3FD9">
              <w:t>s</w:t>
            </w:r>
          </w:p>
          <w:p w:rsidR="00000000" w:rsidRPr="000B3FD9" w:rsidP="000B3FD9">
            <w:pPr>
              <w:pStyle w:val="ListBullet"/>
            </w:pPr>
            <w:r w:rsidRPr="000B3FD9">
              <w:t>customer care cards</w:t>
            </w:r>
          </w:p>
          <w:p w:rsidR="00000000" w:rsidRPr="000B3FD9" w:rsidP="000B3FD9">
            <w:pPr>
              <w:pStyle w:val="ListBullet"/>
            </w:pPr>
            <w:r w:rsidRPr="000B3FD9">
              <w:t xml:space="preserve">work orders </w:t>
            </w:r>
          </w:p>
          <w:p w:rsidR="00000000" w:rsidRPr="000B3FD9" w:rsidP="000B3FD9">
            <w:pPr>
              <w:pStyle w:val="ListBullet"/>
            </w:pPr>
            <w:r w:rsidRPr="000B3FD9">
              <w:t>reports</w:t>
            </w:r>
          </w:p>
        </w:tc>
      </w:tr>
    </w:tbl>
    <w:p w:rsidR="000232EA" w:rsidP="000B3FD9">
      <w:pPr>
        <w:pStyle w:val="BodyText"/>
      </w:pPr>
    </w:p>
    <w:p w:rsidR="000232EA" w:rsidP="000B3FD9">
      <w:pPr>
        <w:pStyle w:val="BodyText"/>
      </w:pPr>
    </w:p>
    <w:p w:rsidR="00000000" w:rsidRPr="000B3FD9" w:rsidP="000B3FD9">
      <w:pPr>
        <w:pStyle w:val="Heading1"/>
      </w:pPr>
      <w:bookmarkStart w:id="9" w:name="O_629972"/>
      <w:bookmarkEnd w:id="9"/>
      <w:r w:rsidRPr="000B3FD9">
        <w:t>Unit Mapping Information</w:t>
      </w:r>
    </w:p>
    <w:p w:rsidR="00000000" w:rsidRPr="000B3FD9" w:rsidP="000232EA">
      <w:pPr>
        <w:pStyle w:val="BodyText"/>
      </w:pPr>
      <w:r w:rsidRPr="000B3FD9">
        <w:t>Supersedes and is equivalent to LMFBA2008A Construct plastic and timber Venetian style blinds</w:t>
      </w:r>
    </w:p>
    <w:p w:rsidR="00000000" w:rsidRPr="000B3FD9" w:rsidP="000B3FD9">
      <w:pPr>
        <w:pStyle w:val="Heading1"/>
      </w:pPr>
      <w:bookmarkStart w:id="10" w:name="O_629965"/>
      <w:bookmarkEnd w:id="10"/>
      <w:r w:rsidRPr="000B3FD9">
        <w:t>Links</w:t>
      </w:r>
    </w:p>
    <w:p w:rsidR="00000000" w:rsidRPr="000B3FD9" w:rsidP="000232EA">
      <w:pPr>
        <w:pStyle w:val="BodyText"/>
      </w:pPr>
      <w:r w:rsidRPr="000B3FD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029FA">
        <w:rPr>
          <w:rStyle w:val="Hyperlink"/>
        </w:rPr>
        <w:t>https://vetnet.gov.au/Pages/TrainingDocs.aspx?q=0601ab95-583a-4e93-b2d4-cfb27b03ed73</w:t>
      </w:r>
      <w:r>
        <w:fldChar w:fldCharType="end"/>
      </w:r>
    </w:p>
    <w:p w:rsidR="00000000" w:rsidRPr="000B3FD9" w:rsidP="000B3FD9"/>
    <w:sectPr w:rsidSect="000B3F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F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FD9" w:rsidRPr="000232EA" w:rsidP="000232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F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2EA" w:rsidP="000B3F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32EA" w:rsidP="000B3FD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232EA" w:rsidP="000B3F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F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2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3FD9" w:rsidRPr="000232EA" w:rsidP="000232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F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2EA" w:rsidRPr="002D2AF8" w:rsidP="000B3FD9">
    <w:pPr>
      <w:pStyle w:val="Header"/>
      <w:framePr w:wrap="around"/>
    </w:pPr>
    <w:r>
      <w:fldChar w:fldCharType="begin"/>
    </w:r>
    <w:r>
      <w:instrText xml:space="preserve"> TITLE   \* MERGEFORMAT </w:instrText>
    </w:r>
    <w:r>
      <w:fldChar w:fldCharType="separate"/>
    </w:r>
    <w:r>
      <w:t>MSFBA2007 Construct plastic and timber Venetian-style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0232EA" w:rsidP="000B3F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004A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88C7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F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3FD9"/>
    <w:pPr>
      <w:spacing w:before="360" w:after="60"/>
      <w:outlineLvl w:val="0"/>
    </w:pPr>
    <w:rPr>
      <w:sz w:val="32"/>
    </w:rPr>
  </w:style>
  <w:style w:type="paragraph" w:styleId="Heading2">
    <w:name w:val="heading 2"/>
    <w:basedOn w:val="HeadingBase"/>
    <w:next w:val="BodyText"/>
    <w:link w:val="Heading2Char"/>
    <w:qFormat/>
    <w:rsid w:val="000B3FD9"/>
    <w:pPr>
      <w:keepLines/>
      <w:spacing w:before="240" w:after="120"/>
      <w:outlineLvl w:val="1"/>
    </w:pPr>
    <w:rPr>
      <w:sz w:val="28"/>
      <w:szCs w:val="40"/>
    </w:rPr>
  </w:style>
  <w:style w:type="paragraph" w:styleId="Heading3">
    <w:name w:val="heading 3"/>
    <w:basedOn w:val="HeadingBase"/>
    <w:next w:val="BodyText"/>
    <w:link w:val="Heading3Char"/>
    <w:qFormat/>
    <w:rsid w:val="000B3FD9"/>
    <w:pPr>
      <w:spacing w:before="180" w:after="120"/>
      <w:outlineLvl w:val="2"/>
    </w:pPr>
    <w:rPr>
      <w:spacing w:val="-10"/>
      <w:kern w:val="32"/>
    </w:rPr>
  </w:style>
  <w:style w:type="paragraph" w:styleId="Heading4">
    <w:name w:val="heading 4"/>
    <w:basedOn w:val="HeadingBase"/>
    <w:next w:val="BodyText"/>
    <w:link w:val="Heading4Char"/>
    <w:qFormat/>
    <w:rsid w:val="000B3FD9"/>
    <w:pPr>
      <w:spacing w:before="160" w:after="120"/>
      <w:outlineLvl w:val="3"/>
    </w:pPr>
    <w:rPr>
      <w:sz w:val="22"/>
    </w:rPr>
  </w:style>
  <w:style w:type="paragraph" w:styleId="Heading5">
    <w:name w:val="heading 5"/>
    <w:basedOn w:val="HeadingBase"/>
    <w:next w:val="Normal"/>
    <w:link w:val="Heading5Char"/>
    <w:qFormat/>
    <w:rsid w:val="000B3FD9"/>
    <w:pPr>
      <w:spacing w:before="80"/>
      <w:outlineLvl w:val="4"/>
    </w:pPr>
    <w:rPr>
      <w:color w:val="918585"/>
      <w:sz w:val="20"/>
    </w:rPr>
  </w:style>
  <w:style w:type="paragraph" w:styleId="Heading6">
    <w:name w:val="heading 6"/>
    <w:basedOn w:val="HeadingBase"/>
    <w:next w:val="Normal"/>
    <w:link w:val="Heading6Char"/>
    <w:qFormat/>
    <w:rsid w:val="000B3FD9"/>
    <w:pPr>
      <w:spacing w:before="60"/>
      <w:outlineLvl w:val="5"/>
    </w:pPr>
    <w:rPr>
      <w:color w:val="918585"/>
      <w:sz w:val="20"/>
    </w:rPr>
  </w:style>
  <w:style w:type="paragraph" w:styleId="Heading7">
    <w:name w:val="heading 7"/>
    <w:basedOn w:val="Normal"/>
    <w:next w:val="Normal"/>
    <w:link w:val="Heading7Char"/>
    <w:qFormat/>
    <w:rsid w:val="000B3FD9"/>
    <w:pPr>
      <w:ind w:left="720"/>
      <w:outlineLvl w:val="6"/>
    </w:pPr>
    <w:rPr>
      <w:i/>
    </w:rPr>
  </w:style>
  <w:style w:type="paragraph" w:styleId="Heading8">
    <w:name w:val="heading 8"/>
    <w:basedOn w:val="Normal"/>
    <w:next w:val="Normal"/>
    <w:link w:val="Heading8Char"/>
    <w:qFormat/>
    <w:rsid w:val="000B3FD9"/>
    <w:pPr>
      <w:ind w:left="720"/>
      <w:outlineLvl w:val="7"/>
    </w:pPr>
    <w:rPr>
      <w:i/>
    </w:rPr>
  </w:style>
  <w:style w:type="paragraph" w:styleId="Heading9">
    <w:name w:val="heading 9"/>
    <w:basedOn w:val="Normal"/>
    <w:next w:val="Normal"/>
    <w:link w:val="Heading9Char"/>
    <w:qFormat/>
    <w:rsid w:val="000B3FD9"/>
    <w:pPr>
      <w:ind w:left="720"/>
      <w:outlineLvl w:val="8"/>
    </w:pPr>
    <w:rPr>
      <w:i/>
    </w:rPr>
  </w:style>
  <w:style w:type="character" w:default="1" w:styleId="DefaultParagraphFont">
    <w:name w:val="Default Paragraph Font"/>
    <w:uiPriority w:val="1"/>
    <w:unhideWhenUsed/>
    <w:rsid w:val="000B3F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3FD9"/>
  </w:style>
  <w:style w:type="character" w:customStyle="1" w:styleId="Heading1Char">
    <w:name w:val="Heading 1 Char"/>
    <w:basedOn w:val="DefaultParagraphFont"/>
    <w:link w:val="Heading1"/>
    <w:rsid w:val="000B3FD9"/>
    <w:rPr>
      <w:rFonts w:ascii="Times New Roman" w:eastAsia="Times New Roman" w:hAnsi="Times New Roman" w:cs="Times New Roman"/>
      <w:b/>
      <w:sz w:val="32"/>
      <w:szCs w:val="20"/>
      <w:lang w:eastAsia="en-US"/>
    </w:rPr>
  </w:style>
  <w:style w:type="paragraph" w:styleId="BodyText">
    <w:name w:val="Body Text"/>
    <w:basedOn w:val="Normal"/>
    <w:link w:val="BodyTextChar"/>
    <w:rsid w:val="000B3F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3FD9"/>
    <w:rPr>
      <w:rFonts w:ascii="Times New Roman" w:eastAsia="Times New Roman" w:hAnsi="Times New Roman" w:cs="Times New Roman"/>
      <w:sz w:val="24"/>
      <w:lang w:eastAsia="en-US"/>
    </w:rPr>
  </w:style>
  <w:style w:type="paragraph" w:styleId="ListBullet">
    <w:name w:val="List Bullet"/>
    <w:basedOn w:val="List"/>
    <w:rsid w:val="000B3FD9"/>
    <w:pPr>
      <w:numPr>
        <w:numId w:val="11"/>
      </w:numPr>
      <w:tabs>
        <w:tab w:val="clear" w:pos="340"/>
      </w:tabs>
      <w:spacing w:before="40" w:after="40"/>
    </w:pPr>
  </w:style>
  <w:style w:type="character" w:customStyle="1" w:styleId="SpecialBold">
    <w:name w:val="Special Bold"/>
    <w:basedOn w:val="DefaultParagraphFont"/>
    <w:rsid w:val="000B3FD9"/>
    <w:rPr>
      <w:b/>
      <w:spacing w:val="0"/>
    </w:rPr>
  </w:style>
  <w:style w:type="paragraph" w:customStyle="1" w:styleId="SuperHeading">
    <w:name w:val="SuperHeading"/>
    <w:basedOn w:val="Normal"/>
    <w:rsid w:val="000B3FD9"/>
    <w:pPr>
      <w:spacing w:before="240" w:after="120"/>
      <w:outlineLvl w:val="0"/>
    </w:pPr>
    <w:rPr>
      <w:rFonts w:ascii="Times New Roman" w:hAnsi="Times New Roman"/>
      <w:b/>
      <w:sz w:val="32"/>
    </w:rPr>
  </w:style>
  <w:style w:type="paragraph" w:customStyle="1" w:styleId="AllowPageBreak">
    <w:name w:val="AllowPageBreak"/>
    <w:rsid w:val="000B3F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3F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3F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3F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3F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3F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3F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3F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3FD9"/>
    <w:rPr>
      <w:rFonts w:ascii="Courier New" w:eastAsia="Times New Roman" w:hAnsi="Courier New" w:cs="Times New Roman"/>
      <w:i/>
      <w:szCs w:val="20"/>
      <w:lang w:eastAsia="en-US"/>
    </w:rPr>
  </w:style>
  <w:style w:type="paragraph" w:customStyle="1" w:styleId="HeadingBase">
    <w:name w:val="Heading Base"/>
    <w:rsid w:val="000B3F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3FD9"/>
    <w:pPr>
      <w:tabs>
        <w:tab w:val="right" w:leader="dot" w:pos="9072"/>
      </w:tabs>
      <w:ind w:left="567"/>
    </w:pPr>
    <w:rPr>
      <w:szCs w:val="22"/>
    </w:rPr>
  </w:style>
  <w:style w:type="paragraph" w:customStyle="1" w:styleId="TOCBase">
    <w:name w:val="TOC Base"/>
    <w:rsid w:val="000B3F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3FD9"/>
    <w:pPr>
      <w:tabs>
        <w:tab w:val="right" w:leader="dot" w:pos="9072"/>
      </w:tabs>
      <w:spacing w:before="40" w:after="40"/>
      <w:ind w:left="284"/>
    </w:pPr>
    <w:rPr>
      <w:rFonts w:ascii="Times New Roman" w:hAnsi="Times New Roman"/>
    </w:rPr>
  </w:style>
  <w:style w:type="paragraph" w:styleId="TOC1">
    <w:name w:val="toc 1"/>
    <w:basedOn w:val="TOCBase"/>
    <w:next w:val="Normal"/>
    <w:rsid w:val="000B3F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3F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3FD9"/>
    <w:rPr>
      <w:rFonts w:ascii="Times New Roman" w:eastAsia="Times New Roman" w:hAnsi="Times New Roman" w:cs="Times New Roman"/>
      <w:sz w:val="16"/>
      <w:lang w:eastAsia="en-US"/>
    </w:rPr>
  </w:style>
  <w:style w:type="paragraph" w:styleId="Title">
    <w:name w:val="Title"/>
    <w:basedOn w:val="HeadingBase"/>
    <w:link w:val="TitleChar"/>
    <w:qFormat/>
    <w:rsid w:val="000B3FD9"/>
    <w:pPr>
      <w:spacing w:before="5040"/>
      <w:jc w:val="center"/>
    </w:pPr>
    <w:rPr>
      <w:sz w:val="48"/>
      <w:szCs w:val="72"/>
      <w:lang w:val="en-US"/>
    </w:rPr>
  </w:style>
  <w:style w:type="character" w:customStyle="1" w:styleId="TitleChar">
    <w:name w:val="Title Char"/>
    <w:basedOn w:val="DefaultParagraphFont"/>
    <w:link w:val="Title"/>
    <w:rsid w:val="000B3F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3FD9"/>
    <w:pPr>
      <w:tabs>
        <w:tab w:val="left" w:pos="3600"/>
        <w:tab w:val="left" w:pos="3958"/>
      </w:tabs>
    </w:pPr>
  </w:style>
  <w:style w:type="paragraph" w:styleId="List">
    <w:name w:val="List"/>
    <w:basedOn w:val="BodyText"/>
    <w:next w:val="BodyText"/>
    <w:rsid w:val="000B3FD9"/>
    <w:pPr>
      <w:tabs>
        <w:tab w:val="left" w:pos="340"/>
      </w:tabs>
      <w:spacing w:before="60" w:after="60"/>
      <w:ind w:left="340" w:hanging="340"/>
    </w:pPr>
  </w:style>
  <w:style w:type="paragraph" w:customStyle="1" w:styleId="Note">
    <w:name w:val="Note"/>
    <w:basedOn w:val="BodyText"/>
    <w:rsid w:val="000B3F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3FD9"/>
    <w:pPr>
      <w:framePr w:wrap="auto" w:hAnchor="text" w:y="6049"/>
    </w:pPr>
    <w:rPr>
      <w:color w:val="000000"/>
      <w:sz w:val="40"/>
    </w:rPr>
  </w:style>
  <w:style w:type="paragraph" w:customStyle="1" w:styleId="TOCTitle">
    <w:name w:val="TOCTitle"/>
    <w:basedOn w:val="Heading1"/>
    <w:rsid w:val="000B3FD9"/>
    <w:pPr>
      <w:spacing w:after="240"/>
      <w:jc w:val="center"/>
      <w:outlineLvl w:val="9"/>
    </w:pPr>
    <w:rPr>
      <w:caps/>
    </w:rPr>
  </w:style>
  <w:style w:type="paragraph" w:customStyle="1" w:styleId="Version">
    <w:name w:val="Version"/>
    <w:rsid w:val="000B3F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3FD9"/>
    <w:pPr>
      <w:numPr>
        <w:numId w:val="12"/>
      </w:numPr>
      <w:tabs>
        <w:tab w:val="clear" w:pos="680"/>
      </w:tabs>
    </w:pPr>
  </w:style>
  <w:style w:type="paragraph" w:styleId="Index1">
    <w:name w:val="index 1"/>
    <w:basedOn w:val="Normal"/>
    <w:next w:val="Normal"/>
    <w:semiHidden/>
    <w:rsid w:val="000B3FD9"/>
    <w:pPr>
      <w:keepNext w:val="0"/>
      <w:tabs>
        <w:tab w:val="right" w:pos="4176"/>
      </w:tabs>
      <w:ind w:left="198" w:hanging="198"/>
    </w:pPr>
    <w:rPr>
      <w:rFonts w:ascii="Garamond" w:hAnsi="Garamond"/>
    </w:rPr>
  </w:style>
  <w:style w:type="paragraph" w:styleId="IndexHeading">
    <w:name w:val="index heading"/>
    <w:basedOn w:val="Normal"/>
    <w:next w:val="Index1"/>
    <w:semiHidden/>
    <w:rsid w:val="000B3FD9"/>
    <w:pPr>
      <w:spacing w:before="120" w:after="120"/>
    </w:pPr>
    <w:rPr>
      <w:rFonts w:ascii="Arial" w:hAnsi="Arial"/>
      <w:b/>
      <w:color w:val="918585"/>
      <w:sz w:val="24"/>
    </w:rPr>
  </w:style>
  <w:style w:type="paragraph" w:styleId="Header">
    <w:name w:val="header"/>
    <w:basedOn w:val="Normal"/>
    <w:link w:val="HeaderChar"/>
    <w:rsid w:val="000B3F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3FD9"/>
    <w:rPr>
      <w:rFonts w:ascii="Times New Roman" w:eastAsia="Times New Roman" w:hAnsi="Times New Roman" w:cs="Times New Roman"/>
      <w:sz w:val="16"/>
      <w:szCs w:val="20"/>
      <w:lang w:val="en-GB" w:eastAsia="en-US"/>
    </w:rPr>
  </w:style>
  <w:style w:type="paragraph" w:customStyle="1" w:styleId="Chapter">
    <w:name w:val="Chapter"/>
    <w:basedOn w:val="Normal"/>
    <w:rsid w:val="000B3FD9"/>
    <w:pPr>
      <w:spacing w:before="240"/>
    </w:pPr>
    <w:rPr>
      <w:rFonts w:ascii="Times New Roman" w:hAnsi="Times New Roman"/>
      <w:smallCaps/>
      <w:spacing w:val="80"/>
      <w:sz w:val="28"/>
    </w:rPr>
  </w:style>
  <w:style w:type="paragraph" w:customStyle="1" w:styleId="InChapter">
    <w:name w:val="InChapter"/>
    <w:basedOn w:val="Heading3"/>
    <w:rsid w:val="000B3FD9"/>
    <w:pPr>
      <w:spacing w:after="240"/>
      <w:outlineLvl w:val="9"/>
    </w:pPr>
    <w:rPr>
      <w:noProof/>
    </w:rPr>
  </w:style>
  <w:style w:type="paragraph" w:styleId="Index2">
    <w:name w:val="index 2"/>
    <w:basedOn w:val="Normal"/>
    <w:next w:val="Normal"/>
    <w:semiHidden/>
    <w:rsid w:val="000B3FD9"/>
    <w:pPr>
      <w:tabs>
        <w:tab w:val="right" w:pos="4176"/>
      </w:tabs>
      <w:ind w:left="568" w:hanging="284"/>
    </w:pPr>
    <w:rPr>
      <w:rFonts w:ascii="Garamond" w:hAnsi="Garamond"/>
    </w:rPr>
  </w:style>
  <w:style w:type="paragraph" w:customStyle="1" w:styleId="Byline">
    <w:name w:val="Byline"/>
    <w:rsid w:val="000B3F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3FD9"/>
    <w:pPr>
      <w:tabs>
        <w:tab w:val="clear" w:pos="3600"/>
        <w:tab w:val="clear" w:pos="3958"/>
      </w:tabs>
      <w:jc w:val="right"/>
    </w:pPr>
  </w:style>
  <w:style w:type="character" w:styleId="Emphasis">
    <w:name w:val="Emphasis"/>
    <w:basedOn w:val="DefaultParagraphFont"/>
    <w:qFormat/>
    <w:rsid w:val="000B3FD9"/>
    <w:rPr>
      <w:i/>
    </w:rPr>
  </w:style>
  <w:style w:type="paragraph" w:styleId="Caption">
    <w:name w:val="caption"/>
    <w:basedOn w:val="BodyText"/>
    <w:next w:val="Normal"/>
    <w:qFormat/>
    <w:rsid w:val="000B3FD9"/>
    <w:pPr>
      <w:framePr w:w="2268" w:hSpace="181" w:vSpace="181" w:wrap="around" w:vAnchor="text" w:hAnchor="page" w:x="1135" w:y="285" w:anchorLock="1"/>
    </w:pPr>
    <w:rPr>
      <w:i/>
    </w:rPr>
  </w:style>
  <w:style w:type="paragraph" w:customStyle="1" w:styleId="MiniTOCTitle">
    <w:name w:val="MiniTOCTitle"/>
    <w:basedOn w:val="Heading4"/>
    <w:rsid w:val="000B3FD9"/>
    <w:pPr>
      <w:spacing w:before="240"/>
      <w:outlineLvl w:val="9"/>
    </w:pPr>
    <w:rPr>
      <w:noProof/>
      <w:sz w:val="24"/>
    </w:rPr>
  </w:style>
  <w:style w:type="paragraph" w:customStyle="1" w:styleId="MiniTOCItem">
    <w:name w:val="MiniTOCItem"/>
    <w:basedOn w:val="ListBullet"/>
    <w:rsid w:val="000B3FD9"/>
    <w:pPr>
      <w:numPr>
        <w:numId w:val="0"/>
      </w:numPr>
      <w:tabs>
        <w:tab w:val="right" w:leader="dot" w:pos="6521"/>
      </w:tabs>
      <w:spacing w:before="0" w:after="0"/>
    </w:pPr>
  </w:style>
  <w:style w:type="paragraph" w:customStyle="1" w:styleId="TOFTitle">
    <w:name w:val="TOFTitle"/>
    <w:basedOn w:val="TOCTitle"/>
    <w:rsid w:val="000B3FD9"/>
  </w:style>
  <w:style w:type="paragraph" w:styleId="TableofFigures">
    <w:name w:val="table of figures"/>
    <w:basedOn w:val="Normal"/>
    <w:next w:val="Normal"/>
    <w:semiHidden/>
    <w:rsid w:val="000B3FD9"/>
    <w:pPr>
      <w:tabs>
        <w:tab w:val="right" w:leader="dot" w:pos="9072"/>
      </w:tabs>
      <w:ind w:left="970" w:hanging="403"/>
    </w:pPr>
    <w:rPr>
      <w:rFonts w:ascii="Times New Roman" w:hAnsi="Times New Roman"/>
      <w:b/>
    </w:rPr>
  </w:style>
  <w:style w:type="paragraph" w:styleId="ListNumber">
    <w:name w:val="List Number"/>
    <w:basedOn w:val="List"/>
    <w:rsid w:val="000B3FD9"/>
    <w:pPr>
      <w:numPr>
        <w:numId w:val="14"/>
      </w:numPr>
      <w:tabs>
        <w:tab w:val="clear" w:pos="340"/>
      </w:tabs>
    </w:pPr>
  </w:style>
  <w:style w:type="character" w:customStyle="1" w:styleId="WingdingSymbols">
    <w:name w:val="Wingding Symbols"/>
    <w:rsid w:val="000B3FD9"/>
    <w:rPr>
      <w:rFonts w:ascii="Wingdings" w:hAnsi="Wingdings"/>
    </w:rPr>
  </w:style>
  <w:style w:type="paragraph" w:customStyle="1" w:styleId="TableHeading">
    <w:name w:val="Table Heading"/>
    <w:basedOn w:val="HeadingBase"/>
    <w:rsid w:val="000B3FD9"/>
    <w:pPr>
      <w:keepLines/>
      <w:pBdr>
        <w:bottom w:val="single" w:sz="6" w:space="1" w:color="918585"/>
      </w:pBdr>
      <w:spacing w:before="240"/>
    </w:pPr>
  </w:style>
  <w:style w:type="character" w:customStyle="1" w:styleId="HotSpot">
    <w:name w:val="HotSpot"/>
    <w:rsid w:val="000B3FD9"/>
    <w:rPr>
      <w:color w:val="0033CC"/>
      <w:u w:val="none"/>
    </w:rPr>
  </w:style>
  <w:style w:type="paragraph" w:customStyle="1" w:styleId="BodyTextRight">
    <w:name w:val="Body Text Right"/>
    <w:basedOn w:val="BodyText"/>
    <w:rsid w:val="000B3FD9"/>
    <w:pPr>
      <w:spacing w:before="0" w:after="0"/>
      <w:jc w:val="right"/>
    </w:pPr>
  </w:style>
  <w:style w:type="paragraph" w:styleId="Index3">
    <w:name w:val="index 3"/>
    <w:basedOn w:val="ListNumber2"/>
    <w:next w:val="Normal"/>
    <w:semiHidden/>
    <w:rsid w:val="000B3FD9"/>
    <w:pPr>
      <w:numPr>
        <w:numId w:val="0"/>
      </w:numPr>
      <w:tabs>
        <w:tab w:val="right" w:leader="dot" w:pos="4176"/>
      </w:tabs>
    </w:pPr>
  </w:style>
  <w:style w:type="paragraph" w:styleId="ListNumber2">
    <w:name w:val="List Number 2"/>
    <w:basedOn w:val="List2"/>
    <w:rsid w:val="000B3FD9"/>
    <w:pPr>
      <w:numPr>
        <w:numId w:val="9"/>
      </w:numPr>
      <w:tabs>
        <w:tab w:val="clear" w:pos="1060"/>
      </w:tabs>
    </w:pPr>
  </w:style>
  <w:style w:type="paragraph" w:customStyle="1" w:styleId="MarginNote">
    <w:name w:val="Margin Note"/>
    <w:basedOn w:val="BodyText"/>
    <w:rsid w:val="000B3F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3F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3F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3FD9"/>
    <w:rPr>
      <w:sz w:val="32"/>
    </w:rPr>
  </w:style>
  <w:style w:type="paragraph" w:customStyle="1" w:styleId="HeadingProcedure">
    <w:name w:val="Heading Procedure"/>
    <w:basedOn w:val="HeadingBase"/>
    <w:next w:val="Normal"/>
    <w:rsid w:val="000B3FD9"/>
    <w:pPr>
      <w:tabs>
        <w:tab w:val="left" w:pos="0"/>
      </w:tabs>
      <w:spacing w:before="120" w:after="60"/>
    </w:pPr>
    <w:rPr>
      <w:i/>
      <w:color w:val="918585"/>
      <w:sz w:val="22"/>
    </w:rPr>
  </w:style>
  <w:style w:type="paragraph" w:customStyle="1" w:styleId="TableBodyText">
    <w:name w:val="Table Body Text"/>
    <w:basedOn w:val="BodyText"/>
    <w:rsid w:val="000B3FD9"/>
    <w:pPr>
      <w:spacing w:before="60" w:after="60"/>
    </w:pPr>
  </w:style>
  <w:style w:type="paragraph" w:styleId="ListContinue">
    <w:name w:val="List Continue"/>
    <w:basedOn w:val="List"/>
    <w:rsid w:val="000B3FD9"/>
    <w:pPr>
      <w:ind w:firstLine="0"/>
    </w:pPr>
  </w:style>
  <w:style w:type="paragraph" w:customStyle="1" w:styleId="ListNote">
    <w:name w:val="List Note"/>
    <w:basedOn w:val="List"/>
    <w:rsid w:val="000B3FD9"/>
    <w:pPr>
      <w:pBdr>
        <w:top w:val="single" w:sz="6" w:space="2" w:color="918585"/>
        <w:bottom w:val="single" w:sz="6" w:space="2" w:color="918585"/>
      </w:pBdr>
      <w:tabs>
        <w:tab w:val="left" w:pos="1021"/>
      </w:tabs>
      <w:ind w:firstLine="0"/>
    </w:pPr>
  </w:style>
  <w:style w:type="paragraph" w:customStyle="1" w:styleId="Warning">
    <w:name w:val="Warning"/>
    <w:basedOn w:val="BodyText"/>
    <w:rsid w:val="000B3FD9"/>
    <w:pPr>
      <w:shd w:val="clear" w:color="auto" w:fill="D9D9D9"/>
      <w:tabs>
        <w:tab w:val="left" w:pos="992"/>
      </w:tabs>
      <w:ind w:left="119" w:right="119"/>
    </w:pPr>
    <w:rPr>
      <w:sz w:val="20"/>
    </w:rPr>
  </w:style>
  <w:style w:type="paragraph" w:customStyle="1" w:styleId="MarginIcons">
    <w:name w:val="Margin Icons"/>
    <w:basedOn w:val="BodyText"/>
    <w:rsid w:val="000B3F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3FD9"/>
    <w:rPr>
      <w:rFonts w:ascii="Courier New" w:hAnsi="Courier New"/>
    </w:rPr>
  </w:style>
  <w:style w:type="paragraph" w:customStyle="1" w:styleId="NoteBullet">
    <w:name w:val="Note Bullet"/>
    <w:basedOn w:val="Note"/>
    <w:rsid w:val="000B3FD9"/>
    <w:pPr>
      <w:tabs>
        <w:tab w:val="clear" w:pos="680"/>
      </w:tabs>
      <w:spacing w:before="60" w:after="60"/>
    </w:pPr>
  </w:style>
  <w:style w:type="paragraph" w:customStyle="1" w:styleId="SubHeading2">
    <w:name w:val="SubHeading2"/>
    <w:basedOn w:val="HeadingBase"/>
    <w:rsid w:val="000B3FD9"/>
    <w:pPr>
      <w:spacing w:before="240" w:after="60"/>
    </w:pPr>
    <w:rPr>
      <w:sz w:val="20"/>
    </w:rPr>
  </w:style>
  <w:style w:type="paragraph" w:customStyle="1" w:styleId="SubHeading1">
    <w:name w:val="SubHeading1"/>
    <w:basedOn w:val="HeadingBase"/>
    <w:rsid w:val="000B3FD9"/>
    <w:pPr>
      <w:spacing w:before="240" w:after="60"/>
    </w:pPr>
    <w:rPr>
      <w:color w:val="918585"/>
      <w:sz w:val="22"/>
    </w:rPr>
  </w:style>
  <w:style w:type="paragraph" w:customStyle="1" w:styleId="SideHeading">
    <w:name w:val="Side Heading"/>
    <w:basedOn w:val="HeadingBase"/>
    <w:rsid w:val="000B3F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3FD9"/>
    <w:pPr>
      <w:numPr>
        <w:numId w:val="10"/>
      </w:numPr>
    </w:pPr>
  </w:style>
  <w:style w:type="paragraph" w:styleId="PlainText">
    <w:name w:val="Plain Text"/>
    <w:basedOn w:val="Normal"/>
    <w:link w:val="PlainTextChar"/>
    <w:rsid w:val="000B3FD9"/>
    <w:rPr>
      <w:sz w:val="20"/>
    </w:rPr>
  </w:style>
  <w:style w:type="character" w:customStyle="1" w:styleId="PlainTextChar">
    <w:name w:val="Plain Text Char"/>
    <w:basedOn w:val="DefaultParagraphFont"/>
    <w:link w:val="PlainText"/>
    <w:rsid w:val="000B3FD9"/>
    <w:rPr>
      <w:rFonts w:ascii="Courier New" w:eastAsia="Times New Roman" w:hAnsi="Courier New" w:cs="Times New Roman"/>
      <w:sz w:val="20"/>
      <w:szCs w:val="20"/>
      <w:lang w:eastAsia="en-US"/>
    </w:rPr>
  </w:style>
  <w:style w:type="character" w:customStyle="1" w:styleId="MenuOption">
    <w:name w:val="Menu Option"/>
    <w:basedOn w:val="DefaultParagraphFont"/>
    <w:rsid w:val="000B3FD9"/>
    <w:rPr>
      <w:b/>
      <w:smallCaps/>
    </w:rPr>
  </w:style>
  <w:style w:type="paragraph" w:customStyle="1" w:styleId="TableListNumber">
    <w:name w:val="Table List Number"/>
    <w:basedOn w:val="ListNumber"/>
    <w:rsid w:val="000B3FD9"/>
    <w:pPr>
      <w:numPr>
        <w:numId w:val="0"/>
      </w:numPr>
    </w:pPr>
  </w:style>
  <w:style w:type="paragraph" w:styleId="TOC4">
    <w:name w:val="toc 4"/>
    <w:basedOn w:val="TOCBase"/>
    <w:next w:val="Normal"/>
    <w:semiHidden/>
    <w:rsid w:val="000B3FD9"/>
    <w:pPr>
      <w:tabs>
        <w:tab w:val="right" w:leader="dot" w:pos="9071"/>
      </w:tabs>
      <w:ind w:left="1701"/>
    </w:pPr>
  </w:style>
  <w:style w:type="paragraph" w:customStyle="1" w:styleId="ListAlpha">
    <w:name w:val="List Alpha"/>
    <w:basedOn w:val="List"/>
    <w:rsid w:val="000B3FD9"/>
    <w:pPr>
      <w:numPr>
        <w:numId w:val="8"/>
      </w:numPr>
    </w:pPr>
  </w:style>
  <w:style w:type="paragraph" w:customStyle="1" w:styleId="ListAlpha2">
    <w:name w:val="List Alpha 2"/>
    <w:basedOn w:val="List2"/>
    <w:rsid w:val="000B3FD9"/>
    <w:pPr>
      <w:numPr>
        <w:numId w:val="7"/>
      </w:numPr>
    </w:pPr>
  </w:style>
  <w:style w:type="paragraph" w:styleId="List2">
    <w:name w:val="List 2"/>
    <w:basedOn w:val="BodyText"/>
    <w:rsid w:val="000B3FD9"/>
    <w:pPr>
      <w:tabs>
        <w:tab w:val="left" w:pos="680"/>
      </w:tabs>
      <w:spacing w:before="60" w:after="60"/>
      <w:ind w:left="680" w:hanging="340"/>
    </w:pPr>
  </w:style>
  <w:style w:type="paragraph" w:styleId="List3">
    <w:name w:val="List 3"/>
    <w:basedOn w:val="BodyText"/>
    <w:rsid w:val="000B3FD9"/>
    <w:pPr>
      <w:tabs>
        <w:tab w:val="left" w:pos="1021"/>
      </w:tabs>
      <w:spacing w:before="60" w:after="60"/>
      <w:ind w:left="1020" w:hanging="340"/>
    </w:pPr>
  </w:style>
  <w:style w:type="paragraph" w:styleId="List4">
    <w:name w:val="List 4"/>
    <w:basedOn w:val="BodyText"/>
    <w:rsid w:val="000B3FD9"/>
    <w:pPr>
      <w:tabs>
        <w:tab w:val="left" w:pos="1361"/>
      </w:tabs>
      <w:spacing w:before="60" w:after="60"/>
      <w:ind w:left="1361" w:hanging="340"/>
    </w:pPr>
  </w:style>
  <w:style w:type="paragraph" w:styleId="List5">
    <w:name w:val="List 5"/>
    <w:basedOn w:val="BodyText"/>
    <w:rsid w:val="000B3FD9"/>
    <w:pPr>
      <w:tabs>
        <w:tab w:val="left" w:pos="1701"/>
      </w:tabs>
      <w:spacing w:before="60" w:after="60"/>
      <w:ind w:left="1701" w:hanging="340"/>
    </w:pPr>
  </w:style>
  <w:style w:type="paragraph" w:styleId="ListBullet3">
    <w:name w:val="List Bullet 3"/>
    <w:basedOn w:val="List3"/>
    <w:rsid w:val="000B3FD9"/>
    <w:pPr>
      <w:numPr>
        <w:numId w:val="13"/>
      </w:numPr>
      <w:tabs>
        <w:tab w:val="clear" w:pos="1021"/>
      </w:tabs>
      <w:ind w:left="1037" w:hanging="357"/>
    </w:pPr>
  </w:style>
  <w:style w:type="paragraph" w:styleId="ListBullet4">
    <w:name w:val="List Bullet 4"/>
    <w:basedOn w:val="List4"/>
    <w:rsid w:val="000B3FD9"/>
    <w:pPr>
      <w:numPr>
        <w:numId w:val="2"/>
      </w:numPr>
      <w:tabs>
        <w:tab w:val="clear" w:pos="1361"/>
      </w:tabs>
    </w:pPr>
  </w:style>
  <w:style w:type="paragraph" w:styleId="ListBullet5">
    <w:name w:val="List Bullet 5"/>
    <w:basedOn w:val="List5"/>
    <w:rsid w:val="000B3FD9"/>
    <w:pPr>
      <w:numPr>
        <w:numId w:val="3"/>
      </w:numPr>
    </w:pPr>
  </w:style>
  <w:style w:type="paragraph" w:styleId="ListContinue2">
    <w:name w:val="List Continue 2"/>
    <w:basedOn w:val="List2"/>
    <w:rsid w:val="000B3FD9"/>
    <w:pPr>
      <w:ind w:firstLine="0"/>
    </w:pPr>
  </w:style>
  <w:style w:type="paragraph" w:styleId="ListContinue3">
    <w:name w:val="List Continue 3"/>
    <w:basedOn w:val="List3"/>
    <w:rsid w:val="000B3FD9"/>
    <w:pPr>
      <w:ind w:left="1021" w:firstLine="0"/>
    </w:pPr>
  </w:style>
  <w:style w:type="paragraph" w:styleId="ListContinue4">
    <w:name w:val="List Continue 4"/>
    <w:basedOn w:val="List4"/>
    <w:rsid w:val="000B3FD9"/>
    <w:pPr>
      <w:ind w:firstLine="0"/>
    </w:pPr>
  </w:style>
  <w:style w:type="paragraph" w:styleId="ListContinue5">
    <w:name w:val="List Continue 5"/>
    <w:basedOn w:val="List5"/>
    <w:rsid w:val="000B3FD9"/>
    <w:pPr>
      <w:ind w:firstLine="0"/>
    </w:pPr>
  </w:style>
  <w:style w:type="paragraph" w:styleId="ListNumber3">
    <w:name w:val="List Number 3"/>
    <w:basedOn w:val="List3"/>
    <w:rsid w:val="000B3FD9"/>
    <w:pPr>
      <w:numPr>
        <w:numId w:val="4"/>
      </w:numPr>
    </w:pPr>
  </w:style>
  <w:style w:type="paragraph" w:styleId="ListNumber4">
    <w:name w:val="List Number 4"/>
    <w:basedOn w:val="List4"/>
    <w:rsid w:val="000B3FD9"/>
    <w:pPr>
      <w:numPr>
        <w:numId w:val="5"/>
      </w:numPr>
    </w:pPr>
  </w:style>
  <w:style w:type="paragraph" w:styleId="ListNumber5">
    <w:name w:val="List Number 5"/>
    <w:basedOn w:val="List5"/>
    <w:rsid w:val="000B3FD9"/>
    <w:pPr>
      <w:numPr>
        <w:numId w:val="6"/>
      </w:numPr>
    </w:pPr>
  </w:style>
  <w:style w:type="paragraph" w:styleId="BlockText">
    <w:name w:val="Block Text"/>
    <w:basedOn w:val="Normal"/>
    <w:rsid w:val="000B3FD9"/>
    <w:pPr>
      <w:spacing w:after="120"/>
      <w:ind w:left="1440" w:right="1440"/>
    </w:pPr>
  </w:style>
  <w:style w:type="character" w:customStyle="1" w:styleId="Subscript">
    <w:name w:val="Subscript"/>
    <w:basedOn w:val="DefaultParagraphFont"/>
    <w:rsid w:val="000B3FD9"/>
    <w:rPr>
      <w:sz w:val="16"/>
      <w:vertAlign w:val="subscript"/>
    </w:rPr>
  </w:style>
  <w:style w:type="character" w:customStyle="1" w:styleId="Superscript">
    <w:name w:val="Superscript"/>
    <w:basedOn w:val="DefaultParagraphFont"/>
    <w:rsid w:val="000B3FD9"/>
    <w:rPr>
      <w:sz w:val="16"/>
      <w:vertAlign w:val="superscript"/>
    </w:rPr>
  </w:style>
  <w:style w:type="character" w:customStyle="1" w:styleId="Symbols">
    <w:name w:val="Symbols"/>
    <w:basedOn w:val="DefaultParagraphFont"/>
    <w:rsid w:val="000B3FD9"/>
    <w:rPr>
      <w:rFonts w:ascii="Symbol" w:hAnsi="Symbol"/>
    </w:rPr>
  </w:style>
  <w:style w:type="character" w:customStyle="1" w:styleId="MenuOptions">
    <w:name w:val="Menu Options"/>
    <w:basedOn w:val="DefaultParagraphFont"/>
    <w:rsid w:val="000B3FD9"/>
    <w:rPr>
      <w:rFonts w:ascii="Arial Narrow" w:hAnsi="Arial Narrow"/>
      <w:smallCaps/>
    </w:rPr>
  </w:style>
  <w:style w:type="character" w:customStyle="1" w:styleId="Buttons">
    <w:name w:val="Buttons"/>
    <w:basedOn w:val="DefaultParagraphFont"/>
    <w:rsid w:val="000B3FD9"/>
    <w:rPr>
      <w:b/>
    </w:rPr>
  </w:style>
  <w:style w:type="character" w:customStyle="1" w:styleId="Underlined">
    <w:name w:val="Underlined"/>
    <w:basedOn w:val="DefaultParagraphFont"/>
    <w:rsid w:val="000B3FD9"/>
    <w:rPr>
      <w:u w:val="single"/>
    </w:rPr>
  </w:style>
  <w:style w:type="paragraph" w:customStyle="1" w:styleId="TableBodyTextRight">
    <w:name w:val="Table Body Text Right"/>
    <w:basedOn w:val="TableBodyText"/>
    <w:rsid w:val="000B3FD9"/>
    <w:pPr>
      <w:widowControl w:val="0"/>
      <w:autoSpaceDE w:val="0"/>
      <w:autoSpaceDN w:val="0"/>
      <w:adjustRightInd w:val="0"/>
      <w:jc w:val="right"/>
    </w:pPr>
    <w:rPr>
      <w:rFonts w:cs="Arial"/>
      <w:szCs w:val="18"/>
    </w:rPr>
  </w:style>
  <w:style w:type="paragraph" w:customStyle="1" w:styleId="CopyrightText">
    <w:name w:val="Copyright Text"/>
    <w:basedOn w:val="BodyText"/>
    <w:rsid w:val="000B3FD9"/>
    <w:rPr>
      <w:sz w:val="18"/>
    </w:rPr>
  </w:style>
  <w:style w:type="paragraph" w:customStyle="1" w:styleId="BodySmallRight">
    <w:name w:val="Body Small Right"/>
    <w:basedOn w:val="BodyTextRight"/>
    <w:rsid w:val="000B3FD9"/>
    <w:rPr>
      <w:sz w:val="18"/>
      <w:szCs w:val="18"/>
    </w:rPr>
  </w:style>
  <w:style w:type="paragraph" w:customStyle="1" w:styleId="MarginEdition">
    <w:name w:val="Margin Edition"/>
    <w:basedOn w:val="MarginNote"/>
    <w:rsid w:val="000B3FD9"/>
    <w:pPr>
      <w:spacing w:before="0" w:after="0"/>
    </w:pPr>
    <w:rPr>
      <w:rFonts w:ascii="Times New Roman" w:hAnsi="Times New Roman"/>
      <w:color w:val="999999"/>
    </w:rPr>
  </w:style>
  <w:style w:type="paragraph" w:customStyle="1" w:styleId="Spacer">
    <w:name w:val="Spacer"/>
    <w:basedOn w:val="Normal"/>
    <w:rsid w:val="000B3FD9"/>
    <w:rPr>
      <w:sz w:val="2"/>
      <w:szCs w:val="2"/>
    </w:rPr>
  </w:style>
  <w:style w:type="character" w:customStyle="1" w:styleId="Small">
    <w:name w:val="Small"/>
    <w:basedOn w:val="DefaultParagraphFont"/>
    <w:rsid w:val="000B3FD9"/>
    <w:rPr>
      <w:sz w:val="16"/>
    </w:rPr>
  </w:style>
  <w:style w:type="paragraph" w:customStyle="1" w:styleId="WideTable">
    <w:name w:val="Wide Table"/>
    <w:basedOn w:val="Normal"/>
    <w:rsid w:val="000B3FD9"/>
    <w:pPr>
      <w:ind w:left="-1418"/>
    </w:pPr>
    <w:rPr>
      <w:sz w:val="2"/>
      <w:szCs w:val="2"/>
    </w:rPr>
  </w:style>
  <w:style w:type="character" w:styleId="PageNumber">
    <w:name w:val="page number"/>
    <w:basedOn w:val="DefaultParagraphFont"/>
    <w:rsid w:val="000B3FD9"/>
  </w:style>
  <w:style w:type="paragraph" w:styleId="Quote">
    <w:name w:val="Quote"/>
    <w:basedOn w:val="Heading1"/>
    <w:link w:val="QuoteChar"/>
    <w:qFormat/>
    <w:rsid w:val="000B3FD9"/>
    <w:rPr>
      <w:b w:val="0"/>
      <w:sz w:val="72"/>
      <w:szCs w:val="72"/>
      <w:lang w:val="en-NZ"/>
    </w:rPr>
  </w:style>
  <w:style w:type="character" w:customStyle="1" w:styleId="QuoteChar">
    <w:name w:val="Quote Char"/>
    <w:basedOn w:val="DefaultParagraphFont"/>
    <w:link w:val="Quote"/>
    <w:rsid w:val="000B3F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3FD9"/>
    <w:pPr>
      <w:pageBreakBefore/>
    </w:pPr>
  </w:style>
  <w:style w:type="paragraph" w:customStyle="1" w:styleId="Border">
    <w:name w:val="Border"/>
    <w:basedOn w:val="Normal"/>
    <w:qFormat/>
    <w:rsid w:val="000B3F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3FD9"/>
    <w:rPr>
      <w:b/>
      <w:bCs/>
      <w:i/>
      <w:iCs/>
      <w:color w:val="auto"/>
    </w:rPr>
  </w:style>
  <w:style w:type="paragraph" w:styleId="IntenseQuote">
    <w:name w:val="Intense Quote"/>
    <w:basedOn w:val="Normal"/>
    <w:next w:val="Normal"/>
    <w:link w:val="IntenseQuoteChar"/>
    <w:uiPriority w:val="30"/>
    <w:qFormat/>
    <w:rsid w:val="000B3F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3F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3FD9"/>
    <w:rPr>
      <w:smallCaps/>
      <w:color w:val="auto"/>
      <w:u w:val="single"/>
    </w:rPr>
  </w:style>
  <w:style w:type="character" w:styleId="IntenseReference">
    <w:name w:val="Intense Reference"/>
    <w:basedOn w:val="DefaultParagraphFont"/>
    <w:uiPriority w:val="32"/>
    <w:qFormat/>
    <w:rsid w:val="000B3FD9"/>
    <w:rPr>
      <w:b/>
      <w:bCs/>
      <w:smallCaps/>
      <w:color w:val="auto"/>
      <w:spacing w:val="5"/>
      <w:u w:val="single"/>
    </w:rPr>
  </w:style>
  <w:style w:type="paragraph" w:customStyle="1" w:styleId="2ColumnHeading">
    <w:name w:val="2Column Heading"/>
    <w:basedOn w:val="BodyText"/>
    <w:qFormat/>
    <w:rsid w:val="000B3FD9"/>
    <w:pPr>
      <w:spacing w:after="60"/>
      <w:ind w:left="-2268"/>
    </w:pPr>
    <w:rPr>
      <w:b/>
    </w:rPr>
  </w:style>
  <w:style w:type="paragraph" w:customStyle="1" w:styleId="Heading1TOC">
    <w:name w:val="Heading1 TOC"/>
    <w:basedOn w:val="Normal"/>
    <w:qFormat/>
    <w:rsid w:val="000B3FD9"/>
    <w:pPr>
      <w:spacing w:before="240" w:after="120"/>
    </w:pPr>
    <w:rPr>
      <w:rFonts w:ascii="Times New Roman" w:hAnsi="Times New Roman"/>
      <w:b/>
      <w:sz w:val="32"/>
    </w:rPr>
  </w:style>
  <w:style w:type="paragraph" w:customStyle="1" w:styleId="Heading2TOC">
    <w:name w:val="Heading2 TOC"/>
    <w:basedOn w:val="Normal"/>
    <w:qFormat/>
    <w:rsid w:val="000B3FD9"/>
    <w:pPr>
      <w:spacing w:before="240" w:after="60"/>
    </w:pPr>
    <w:rPr>
      <w:rFonts w:ascii="Times New Roman" w:hAnsi="Times New Roman"/>
      <w:b/>
      <w:sz w:val="28"/>
    </w:rPr>
  </w:style>
  <w:style w:type="character" w:customStyle="1" w:styleId="Underline">
    <w:name w:val="Underline"/>
    <w:basedOn w:val="DefaultParagraphFont"/>
    <w:qFormat/>
    <w:rsid w:val="000B3FD9"/>
    <w:rPr>
      <w:u w:val="single"/>
    </w:rPr>
  </w:style>
  <w:style w:type="character" w:customStyle="1" w:styleId="BoldandItalics">
    <w:name w:val="Bold and Italics"/>
    <w:qFormat/>
    <w:rsid w:val="000B3FD9"/>
    <w:rPr>
      <w:b/>
      <w:i/>
      <w:u w:val="none"/>
    </w:rPr>
  </w:style>
  <w:style w:type="paragraph" w:styleId="BalloonText">
    <w:name w:val="Balloon Text"/>
    <w:basedOn w:val="Normal"/>
    <w:link w:val="BalloonTextChar"/>
    <w:rsid w:val="000B3FD9"/>
    <w:rPr>
      <w:rFonts w:ascii="Tahoma" w:hAnsi="Tahoma" w:cs="Tahoma"/>
      <w:sz w:val="16"/>
      <w:szCs w:val="16"/>
    </w:rPr>
  </w:style>
  <w:style w:type="character" w:customStyle="1" w:styleId="BalloonTextChar">
    <w:name w:val="Balloon Text Char"/>
    <w:basedOn w:val="DefaultParagraphFont"/>
    <w:link w:val="BalloonText"/>
    <w:rsid w:val="000B3F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3F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3F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3FD9"/>
    <w:rPr>
      <w:b/>
      <w:color w:val="660033"/>
      <w:spacing w:val="0"/>
    </w:rPr>
  </w:style>
  <w:style w:type="paragraph" w:customStyle="1" w:styleId="Nameditemlist">
    <w:name w:val="Named item list"/>
    <w:basedOn w:val="BodyText"/>
    <w:qFormat/>
    <w:rsid w:val="000B3FD9"/>
    <w:pPr>
      <w:tabs>
        <w:tab w:val="left" w:pos="2835"/>
      </w:tabs>
      <w:ind w:left="2835" w:hanging="2835"/>
    </w:pPr>
  </w:style>
  <w:style w:type="paragraph" w:customStyle="1" w:styleId="BodyTextnopadding">
    <w:name w:val="Body Text no padding"/>
    <w:basedOn w:val="BodyText"/>
    <w:qFormat/>
    <w:rsid w:val="000B3FD9"/>
    <w:pPr>
      <w:spacing w:before="0" w:after="0"/>
    </w:pPr>
  </w:style>
  <w:style w:type="paragraph" w:customStyle="1" w:styleId="BodyTextBold">
    <w:name w:val="Body Text Bold"/>
    <w:basedOn w:val="BodyText"/>
    <w:qFormat/>
    <w:rsid w:val="000B3FD9"/>
    <w:rPr>
      <w:b/>
    </w:rPr>
  </w:style>
  <w:style w:type="character" w:styleId="Hyperlink">
    <w:name w:val="Hyperlink"/>
    <w:basedOn w:val="DefaultParagraphFont"/>
    <w:uiPriority w:val="99"/>
    <w:unhideWhenUsed/>
    <w:rsid w:val="000232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846</Words>
  <Characters>5466</Characters>
  <Application>Microsoft Office Word</Application>
  <DocSecurity>0</DocSecurity>
  <Lines>287</Lines>
  <Paragraphs>197</Paragraphs>
  <ScaleCrop>false</ScaleCrop>
  <Company>Author-it Software Corporation Ltd.</Company>
  <LinksUpToDate>false</LinksUpToDate>
  <CharactersWithSpaces>6115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MSFBA2007 Construct plastic and timber Venetian-style blinds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2022-06-03T07:17:00Z</dcterms:created>
  <dcterms:modified xsi:type="dcterms:W3CDTF">2022-06-03T07:17:00Z</dcterms:modified>
</cp:coreProperties>
</file>