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BF1" w:rsidP="008F1BF1">
      <w:pPr>
        <w:pStyle w:val="Title"/>
      </w:pPr>
      <w:r>
        <w:fldChar w:fldCharType="begin"/>
      </w:r>
      <w:r>
        <w:instrText xml:space="preserve"> TITLE   \* MERGEFORMAT </w:instrText>
      </w:r>
      <w:r>
        <w:fldChar w:fldCharType="separate"/>
      </w:r>
      <w:r>
        <w:t>MSFBA2003 Select and apply blinds and awnings hardware and fixings</w:t>
      </w:r>
      <w:r>
        <w:fldChar w:fldCharType="end"/>
      </w:r>
    </w:p>
    <w:p w:rsidR="008F1BF1" w:rsidP="008F1BF1">
      <w:pPr>
        <w:pStyle w:val="Version"/>
        <w:sectPr w:rsidSect="00D649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9C7" w:rsidP="00D649C7">
      <w:pPr>
        <w:pStyle w:val="SuperHeading"/>
      </w:pPr>
      <w:r w:rsidRPr="00D649C7">
        <w:t>MSFBA2003 Select and apply blinds and awnings hardware and fixings</w:t>
      </w:r>
    </w:p>
    <w:p w:rsidR="00000000" w:rsidRPr="00D649C7" w:rsidP="00D649C7">
      <w:pPr>
        <w:pStyle w:val="Heading1"/>
      </w:pPr>
      <w:bookmarkStart w:id="1" w:name="O_629895"/>
      <w:bookmarkEnd w:id="1"/>
      <w:r w:rsidRPr="00D649C7">
        <w:t>Modification History</w:t>
      </w:r>
    </w:p>
    <w:p w:rsidR="00000000" w:rsidRPr="00D649C7" w:rsidP="00D649C7">
      <w:pPr>
        <w:pStyle w:val="BodyText"/>
      </w:pPr>
      <w:r w:rsidRPr="00D649C7">
        <w:t>Release 1 - New unit of competency</w:t>
      </w:r>
    </w:p>
    <w:p w:rsidR="00000000" w:rsidRPr="00D649C7" w:rsidP="00D649C7">
      <w:pPr>
        <w:pStyle w:val="AllowPageBreak"/>
      </w:pPr>
    </w:p>
    <w:p w:rsidR="00000000" w:rsidRPr="00D649C7" w:rsidP="00D649C7">
      <w:pPr>
        <w:pStyle w:val="Heading1"/>
      </w:pPr>
      <w:bookmarkStart w:id="2" w:name="O_629903"/>
      <w:bookmarkEnd w:id="2"/>
      <w:r w:rsidRPr="00D649C7">
        <w:t>Application</w:t>
      </w:r>
    </w:p>
    <w:p w:rsidR="00000000" w:rsidRPr="00D649C7" w:rsidP="00D649C7">
      <w:pPr>
        <w:pStyle w:val="BodyText"/>
      </w:pPr>
      <w:r w:rsidRPr="00D649C7">
        <w:t>This unit of competency covers selecting hardware and other fixings in the ma</w:t>
      </w:r>
      <w:r w:rsidRPr="00D649C7">
        <w:t>nufacture and installation of blinds and awnings. It applies in workplace and on-site environments and may be conducted in small to large scale enterprises.</w:t>
      </w:r>
    </w:p>
    <w:p w:rsidR="00000000" w:rsidRPr="00D649C7" w:rsidP="00D649C7">
      <w:pPr>
        <w:pStyle w:val="BodyText"/>
      </w:pPr>
    </w:p>
    <w:p w:rsidR="00000000" w:rsidRPr="00D649C7" w:rsidP="00D649C7">
      <w:pPr>
        <w:pStyle w:val="BodyText"/>
      </w:pPr>
      <w:r w:rsidRPr="00D649C7">
        <w:t>No licensing, legislative or certification requirements apply to this unit at the time of publicat</w:t>
      </w:r>
      <w:r w:rsidRPr="00D649C7">
        <w:t>ion.</w:t>
      </w:r>
    </w:p>
    <w:p w:rsidR="00000000" w:rsidRPr="00D649C7" w:rsidP="00D649C7">
      <w:pPr>
        <w:pStyle w:val="AllowPageBreak"/>
      </w:pPr>
    </w:p>
    <w:p w:rsidR="00000000" w:rsidRPr="00D649C7" w:rsidP="00D649C7">
      <w:pPr>
        <w:pStyle w:val="Heading1"/>
      </w:pPr>
      <w:bookmarkStart w:id="3" w:name="O_629902"/>
      <w:bookmarkEnd w:id="3"/>
      <w:r w:rsidRPr="00D649C7">
        <w:t>Pre-requisite Unit</w:t>
      </w:r>
    </w:p>
    <w:p w:rsidR="00000000" w:rsidRPr="00D649C7" w:rsidP="00D649C7">
      <w:pPr>
        <w:pStyle w:val="Heading1"/>
      </w:pPr>
      <w:bookmarkStart w:id="4" w:name="O_629901"/>
      <w:bookmarkEnd w:id="4"/>
      <w:r w:rsidRPr="00D649C7">
        <w:t>Competency Field</w:t>
      </w:r>
    </w:p>
    <w:p w:rsidR="00000000" w:rsidRPr="00D649C7" w:rsidP="00D649C7">
      <w:pPr>
        <w:pStyle w:val="Heading1"/>
      </w:pPr>
      <w:bookmarkStart w:id="5" w:name="O_629900"/>
      <w:bookmarkEnd w:id="5"/>
      <w:r w:rsidRPr="00D649C7">
        <w:t>Unit Sector</w:t>
      </w:r>
    </w:p>
    <w:p w:rsidR="00000000" w:rsidRPr="00D649C7" w:rsidP="00D649C7">
      <w:pPr>
        <w:pStyle w:val="BodyText"/>
      </w:pPr>
      <w:r w:rsidRPr="00D649C7">
        <w:t>Blinds and awnings</w:t>
      </w:r>
    </w:p>
    <w:p w:rsidR="00000000" w:rsidRPr="00D649C7" w:rsidP="00D649C7">
      <w:pPr>
        <w:pStyle w:val="AllowPageBreak"/>
      </w:pPr>
    </w:p>
    <w:p w:rsidR="00000000" w:rsidRPr="00D649C7" w:rsidP="00D649C7">
      <w:pPr>
        <w:pStyle w:val="Heading1"/>
      </w:pPr>
      <w:bookmarkStart w:id="6" w:name="O_629899"/>
      <w:bookmarkEnd w:id="6"/>
      <w:r w:rsidRPr="00D649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49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Performance criteria describe the perform</w:t>
            </w:r>
            <w:r w:rsidRPr="00D649C7">
              <w:t>ance needed to demonstrate achievement of the element.</w:t>
            </w:r>
          </w:p>
        </w:tc>
      </w:tr>
      <w:tr w:rsidTr="00D649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1</w:t>
            </w:r>
          </w:p>
        </w:tc>
        <w:tc>
          <w:tcPr>
            <w:tcW w:w="1962" w:type="dxa"/>
            <w:vMerge w:val="restart"/>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Plan and prepare work</w:t>
            </w: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1.1</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Work health and safety (WHS) requirements, legislative requirements and workplace practices are identified and followed</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1.2</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Personal protective equipment is used correctly throughout the work</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1.3</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Types of hardware and fixings are identified and selected for the work</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1.4</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Tools and equipment for application are identified and checked for safe operation</w:t>
            </w:r>
          </w:p>
        </w:tc>
      </w:tr>
      <w:tr w:rsidTr="00D649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2</w:t>
            </w:r>
          </w:p>
        </w:tc>
        <w:tc>
          <w:tcPr>
            <w:tcW w:w="1962" w:type="dxa"/>
            <w:vMerge w:val="restart"/>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 xml:space="preserve">Apply and/or fit </w:t>
            </w:r>
            <w:r w:rsidRPr="00D649C7">
              <w:t>and finish</w:t>
            </w: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2.1</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Hardware items are laid out ready for application</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2.2</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Hardware and fixings are applied as required according to work instructions and workplace practices</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2.3</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Work is checked against required quality standards</w:t>
            </w:r>
          </w:p>
        </w:tc>
      </w:tr>
      <w:tr w:rsidTr="00D649C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3</w:t>
            </w:r>
          </w:p>
        </w:tc>
        <w:tc>
          <w:tcPr>
            <w:tcW w:w="1962" w:type="dxa"/>
            <w:vMerge w:val="restart"/>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Finalise operation and maintain equipment</w:t>
            </w: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3.1</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Work area is cleaned and waste removed</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3.2</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Unused hardware is collected and stored for re-use or disposal following workplace practices</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3.3</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Waste and scrap materials are dealt with following workplace practices</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3.4</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Hand and power tools and equipment are cleaned, maintained and stored in accordance with workplace practices</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3.5</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Machinery is cleaned and left in safe mode</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3.6</w:t>
            </w:r>
          </w:p>
        </w:tc>
        <w:tc>
          <w:tcPr>
            <w:tcW w:w="561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F</w:t>
            </w:r>
            <w:r w:rsidRPr="00D649C7">
              <w:t>aulty and/or defective equipment is tagged and reported to appropriate personnel</w:t>
            </w:r>
          </w:p>
        </w:tc>
      </w:tr>
      <w:tr w:rsidTr="00D649C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3.7</w:t>
            </w:r>
          </w:p>
        </w:tc>
        <w:tc>
          <w:tcPr>
            <w:tcW w:w="5610" w:type="dxa"/>
            <w:tcBorders>
              <w:top w:val="nil"/>
              <w:left w:val="nil"/>
              <w:bottom w:val="nil"/>
              <w:right w:val="nil"/>
            </w:tcBorders>
            <w:tcMar>
              <w:top w:w="0" w:type="dxa"/>
              <w:left w:w="62" w:type="dxa"/>
              <w:bottom w:w="0" w:type="dxa"/>
              <w:right w:w="62" w:type="dxa"/>
            </w:tcMar>
          </w:tcPr>
          <w:p w:rsidR="00000000" w:rsidRPr="00D649C7" w:rsidP="00D649C7">
            <w:pPr>
              <w:pStyle w:val="BodyText"/>
            </w:pPr>
            <w:r w:rsidRPr="00D649C7">
              <w:t>Workplace documentation in completed</w:t>
            </w:r>
          </w:p>
        </w:tc>
      </w:tr>
    </w:tbl>
    <w:p w:rsidR="008F1BF1" w:rsidP="00D649C7">
      <w:pPr>
        <w:pStyle w:val="BodyText"/>
      </w:pPr>
    </w:p>
    <w:p w:rsidR="008F1BF1" w:rsidP="00D649C7">
      <w:pPr>
        <w:pStyle w:val="BodyText"/>
      </w:pPr>
    </w:p>
    <w:p w:rsidR="00000000" w:rsidRPr="00D649C7" w:rsidP="00D649C7">
      <w:pPr>
        <w:pStyle w:val="Heading1"/>
      </w:pPr>
      <w:bookmarkStart w:id="7" w:name="O_629898"/>
      <w:bookmarkEnd w:id="7"/>
      <w:r w:rsidRPr="00D649C7">
        <w:t>Foundation Skills</w:t>
      </w:r>
    </w:p>
    <w:p w:rsidR="008F1BF1" w:rsidP="00D649C7">
      <w:pPr>
        <w:pStyle w:val="BodyText"/>
      </w:pPr>
      <w:r w:rsidRPr="00D649C7">
        <w:t>Foundation skills essential to performance are explicit in the performance criteria of this u</w:t>
      </w:r>
      <w:r w:rsidRPr="00D649C7">
        <w:t>nit of competency. Detail on appropriate performance levels for each furnishing unit of competency in reading, writing, oral communication and numeracy utilising the Australian Core Skills Framework (ACSF) are provided in the Furnishing Training Package Im</w:t>
      </w:r>
      <w:r w:rsidRPr="00D649C7">
        <w:t xml:space="preserve">plementation Guide. </w:t>
      </w:r>
    </w:p>
    <w:p w:rsidR="008F1BF1" w:rsidP="00D649C7">
      <w:pPr>
        <w:pStyle w:val="BodyText"/>
      </w:pPr>
    </w:p>
    <w:p w:rsidR="00000000" w:rsidRPr="00D649C7" w:rsidP="00D649C7">
      <w:pPr>
        <w:pStyle w:val="Heading1"/>
      </w:pPr>
      <w:bookmarkStart w:id="8" w:name="O_629897"/>
      <w:bookmarkEnd w:id="8"/>
      <w:r w:rsidRPr="00D649C7">
        <w:t>Range of Conditions</w:t>
      </w:r>
    </w:p>
    <w:tbl>
      <w:tblPr>
        <w:tblW w:w="0" w:type="auto"/>
        <w:tblLayout w:type="fixed"/>
        <w:tblCellMar>
          <w:left w:w="62" w:type="dxa"/>
          <w:right w:w="62" w:type="dxa"/>
        </w:tblCellMar>
        <w:tblLook w:val="0000"/>
      </w:tblPr>
      <w:tblGrid>
        <w:gridCol w:w="2760"/>
        <w:gridCol w:w="6312"/>
      </w:tblGrid>
      <w:tr w:rsidTr="00D649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t xml:space="preserve">Specifies different work environments and conditions that may affect performance. Essential operating conditions that may be present (depending </w:t>
            </w:r>
            <w:r w:rsidRPr="00D649C7">
              <w:t>on the work situation, needs of the candidate, accessibility of the item, and local industry and regional contexts) are included. Range is restricted to essential operating conditions and any other variables essential to the work environment.</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WHS require</w:t>
            </w:r>
            <w:r w:rsidRPr="00D649C7">
              <w:rPr>
                <w:rStyle w:val="SpecialBold"/>
              </w:rPr>
              <w:t>ments include:</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Commonwealth, state or territory legislation and regulations</w:t>
            </w:r>
          </w:p>
          <w:p w:rsidR="00000000" w:rsidRPr="00D649C7" w:rsidP="00D649C7">
            <w:pPr>
              <w:pStyle w:val="ListBullet"/>
            </w:pPr>
            <w:r w:rsidRPr="00D649C7">
              <w:t>organisational safety policies and procedures</w:t>
            </w:r>
          </w:p>
          <w:p w:rsidR="00000000" w:rsidRPr="00D649C7" w:rsidP="00D649C7">
            <w:pPr>
              <w:pStyle w:val="ListBullet"/>
            </w:pPr>
            <w:r w:rsidRPr="00D649C7">
              <w:t>the use of personal protective equipment and clothing</w:t>
            </w:r>
          </w:p>
          <w:p w:rsidR="00000000" w:rsidRPr="00D649C7" w:rsidP="00D649C7">
            <w:pPr>
              <w:pStyle w:val="ListBullet"/>
            </w:pPr>
            <w:r w:rsidRPr="00D649C7">
              <w:t>firefighting equipment</w:t>
            </w:r>
          </w:p>
          <w:p w:rsidR="00000000" w:rsidRPr="00D649C7" w:rsidP="00D649C7">
            <w:pPr>
              <w:pStyle w:val="ListBullet"/>
            </w:pPr>
            <w:r w:rsidRPr="00D649C7">
              <w:t>first aid equipment</w:t>
            </w:r>
          </w:p>
          <w:p w:rsidR="00000000" w:rsidRPr="00D649C7" w:rsidP="00D649C7">
            <w:pPr>
              <w:pStyle w:val="ListBullet"/>
            </w:pPr>
            <w:r w:rsidRPr="00D649C7">
              <w:t>hazard and risk control and eliminat</w:t>
            </w:r>
            <w:r w:rsidRPr="00D649C7">
              <w:t>ion of hazardous materials and substances</w:t>
            </w:r>
          </w:p>
          <w:p w:rsidR="00000000" w:rsidP="00D649C7">
            <w:pPr>
              <w:pStyle w:val="ListBullet"/>
              <w:rPr>
                <w:lang w:val="en-NZ"/>
              </w:rPr>
            </w:pPr>
            <w:r w:rsidRPr="00D649C7">
              <w:t>manual handling, including lifting and carrying</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applicable legislation from all levels of government that affect organisational operation</w:t>
            </w:r>
          </w:p>
          <w:p w:rsidR="00000000" w:rsidRPr="00D649C7" w:rsidP="00D649C7">
            <w:pPr>
              <w:pStyle w:val="ListBullet"/>
            </w:pPr>
            <w:r w:rsidRPr="00D649C7">
              <w:t>award and enterprise agreements</w:t>
            </w:r>
          </w:p>
          <w:p w:rsidR="00000000" w:rsidRPr="00D649C7" w:rsidP="00D649C7">
            <w:pPr>
              <w:pStyle w:val="ListBullet"/>
            </w:pPr>
            <w:r w:rsidRPr="00D649C7">
              <w:t>industrial relations</w:t>
            </w:r>
          </w:p>
          <w:p w:rsidR="00000000" w:rsidRPr="00D649C7" w:rsidP="00D649C7">
            <w:pPr>
              <w:pStyle w:val="ListBullet"/>
            </w:pPr>
            <w:r w:rsidRPr="00D649C7">
              <w:t>Australian Standards</w:t>
            </w:r>
          </w:p>
          <w:p w:rsidR="00000000" w:rsidRPr="00D649C7" w:rsidP="00D649C7">
            <w:pPr>
              <w:pStyle w:val="ListBullet"/>
            </w:pPr>
            <w:r w:rsidRPr="00D649C7">
              <w:t>confidentiality and privacy</w:t>
            </w:r>
          </w:p>
          <w:p w:rsidR="00000000" w:rsidRPr="00D649C7" w:rsidP="00D649C7">
            <w:pPr>
              <w:pStyle w:val="ListBullet"/>
            </w:pPr>
            <w:r w:rsidRPr="00D649C7">
              <w:t>the environment</w:t>
            </w:r>
          </w:p>
          <w:p w:rsidR="00000000" w:rsidRPr="00D649C7" w:rsidP="00D649C7">
            <w:pPr>
              <w:pStyle w:val="ListBullet"/>
            </w:pPr>
            <w:r w:rsidRPr="00D649C7">
              <w:t>equal employment opportunity (EEO)</w:t>
            </w:r>
          </w:p>
          <w:p w:rsidR="00000000" w:rsidRPr="00D649C7" w:rsidP="00D649C7">
            <w:pPr>
              <w:pStyle w:val="ListBullet"/>
            </w:pPr>
            <w:r w:rsidRPr="00D649C7">
              <w:t>anti-discrimination</w:t>
            </w:r>
          </w:p>
          <w:p w:rsidR="00000000" w:rsidRPr="00D649C7" w:rsidP="00D649C7">
            <w:pPr>
              <w:pStyle w:val="ListBullet"/>
            </w:pPr>
            <w:r w:rsidRPr="00D649C7">
              <w:t>relevant industry codes of practice</w:t>
            </w:r>
          </w:p>
          <w:p w:rsidR="00000000" w:rsidP="00D649C7">
            <w:pPr>
              <w:pStyle w:val="ListBullet"/>
              <w:rPr>
                <w:lang w:val="en-NZ"/>
              </w:rPr>
            </w:pPr>
            <w:r w:rsidRPr="00D649C7">
              <w:t>duty of care and heritage</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 xml:space="preserve">legal, organisational </w:t>
            </w:r>
            <w:r w:rsidRPr="00D649C7">
              <w:t>and site guidelines</w:t>
            </w:r>
          </w:p>
          <w:p w:rsidR="00000000" w:rsidRPr="00D649C7" w:rsidP="00D649C7">
            <w:pPr>
              <w:pStyle w:val="ListBullet"/>
            </w:pPr>
            <w:r w:rsidRPr="00D649C7">
              <w:t>policies and procedures relating to own role and responsibility</w:t>
            </w:r>
          </w:p>
          <w:p w:rsidR="00000000" w:rsidRPr="00D649C7" w:rsidP="00D649C7">
            <w:pPr>
              <w:pStyle w:val="ListBullet"/>
            </w:pPr>
            <w:r w:rsidRPr="00D649C7">
              <w:t>quality assurance</w:t>
            </w:r>
          </w:p>
          <w:p w:rsidR="00000000" w:rsidRPr="00D649C7" w:rsidP="00D649C7">
            <w:pPr>
              <w:pStyle w:val="ListBullet"/>
            </w:pPr>
            <w:r w:rsidRPr="00D649C7">
              <w:t>procedural manuals</w:t>
            </w:r>
          </w:p>
          <w:p w:rsidR="00000000" w:rsidRPr="00D649C7" w:rsidP="00D649C7">
            <w:pPr>
              <w:pStyle w:val="ListBullet"/>
            </w:pPr>
            <w:r w:rsidRPr="00D649C7">
              <w:t>quality and continuous improvement processes and standards</w:t>
            </w:r>
          </w:p>
          <w:p w:rsidR="00000000" w:rsidRPr="00D649C7" w:rsidP="00D649C7">
            <w:pPr>
              <w:pStyle w:val="ListBullet"/>
            </w:pPr>
            <w:r w:rsidRPr="00D649C7">
              <w:t>emergency and evacuation</w:t>
            </w:r>
          </w:p>
          <w:p w:rsidR="00000000" w:rsidRPr="00D649C7" w:rsidP="00D649C7">
            <w:pPr>
              <w:pStyle w:val="ListBullet"/>
            </w:pPr>
            <w:r w:rsidRPr="00D649C7">
              <w:t>ethical standards</w:t>
            </w:r>
          </w:p>
          <w:p w:rsidR="00000000" w:rsidRPr="00D649C7" w:rsidP="00D649C7">
            <w:pPr>
              <w:pStyle w:val="ListBullet"/>
            </w:pPr>
            <w:r w:rsidRPr="00D649C7">
              <w:t>recording and reporting</w:t>
            </w:r>
          </w:p>
          <w:p w:rsidR="00000000" w:rsidRPr="00D649C7" w:rsidP="00D649C7">
            <w:pPr>
              <w:pStyle w:val="ListBullet"/>
            </w:pPr>
            <w:r w:rsidRPr="00D649C7">
              <w:t>access and equity principles and practices</w:t>
            </w:r>
          </w:p>
          <w:p w:rsidR="00000000" w:rsidRPr="00D649C7" w:rsidP="00D649C7">
            <w:pPr>
              <w:pStyle w:val="ListBullet"/>
            </w:pPr>
            <w:r w:rsidRPr="00D649C7">
              <w:t>equipment use, maintenance and storage</w:t>
            </w:r>
          </w:p>
          <w:p w:rsidR="00000000" w:rsidP="00D649C7">
            <w:pPr>
              <w:pStyle w:val="ListBullet"/>
              <w:rPr>
                <w:lang w:val="en-NZ"/>
              </w:rPr>
            </w:pPr>
            <w:r w:rsidRPr="00D649C7">
              <w:t>environmental management (waste disposal, recycling and re-use guidelines)</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safety glasses/goggles</w:t>
            </w:r>
          </w:p>
          <w:p w:rsidR="00000000" w:rsidRPr="00D649C7" w:rsidP="00D649C7">
            <w:pPr>
              <w:pStyle w:val="ListBullet"/>
            </w:pPr>
            <w:r w:rsidRPr="00D649C7">
              <w:t>hearing protection</w:t>
            </w:r>
          </w:p>
          <w:p w:rsidR="00000000" w:rsidRPr="00D649C7" w:rsidP="00D649C7">
            <w:pPr>
              <w:pStyle w:val="ListBullet"/>
            </w:pPr>
            <w:r w:rsidRPr="00D649C7">
              <w:t>safety footwear</w:t>
            </w:r>
          </w:p>
          <w:p w:rsidR="00000000" w:rsidRPr="00D649C7" w:rsidP="00D649C7">
            <w:pPr>
              <w:pStyle w:val="ListBullet"/>
            </w:pPr>
            <w:r w:rsidRPr="00D649C7">
              <w:t xml:space="preserve">protective clothing </w:t>
            </w:r>
          </w:p>
          <w:p w:rsidR="00000000" w:rsidP="00D649C7">
            <w:pPr>
              <w:pStyle w:val="ListBullet"/>
              <w:rPr>
                <w:lang w:val="en-NZ"/>
              </w:rPr>
            </w:pPr>
            <w:r w:rsidRPr="00D649C7">
              <w:t>respiratory protection</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 xml:space="preserve">Hardware includes: </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screws</w:t>
            </w:r>
          </w:p>
          <w:p w:rsidR="00000000" w:rsidRPr="00D649C7" w:rsidP="00D649C7">
            <w:pPr>
              <w:pStyle w:val="ListBullet"/>
            </w:pPr>
            <w:r w:rsidRPr="00D649C7">
              <w:t>nails</w:t>
            </w:r>
          </w:p>
          <w:p w:rsidR="00000000" w:rsidRPr="00D649C7" w:rsidP="00D649C7">
            <w:pPr>
              <w:pStyle w:val="ListBullet"/>
            </w:pPr>
            <w:r w:rsidRPr="00D649C7">
              <w:t>pop rivets</w:t>
            </w:r>
          </w:p>
          <w:p w:rsidR="00000000" w:rsidRPr="00D649C7" w:rsidP="00D649C7">
            <w:pPr>
              <w:pStyle w:val="ListBullet"/>
            </w:pPr>
            <w:r w:rsidRPr="00D649C7">
              <w:t>plugs</w:t>
            </w:r>
          </w:p>
          <w:p w:rsidR="00000000" w:rsidRPr="00D649C7" w:rsidP="00D649C7">
            <w:pPr>
              <w:pStyle w:val="ListBullet"/>
            </w:pPr>
            <w:r w:rsidRPr="00D649C7">
              <w:t>tek screws</w:t>
            </w:r>
          </w:p>
          <w:p w:rsidR="00000000" w:rsidRPr="00D649C7" w:rsidP="00D649C7">
            <w:pPr>
              <w:pStyle w:val="ListBullet"/>
            </w:pPr>
            <w:r w:rsidRPr="00D649C7">
              <w:t>loxons</w:t>
            </w:r>
          </w:p>
          <w:p w:rsidR="00000000" w:rsidRPr="00D649C7" w:rsidP="00D649C7">
            <w:pPr>
              <w:pStyle w:val="ListBullet"/>
            </w:pPr>
            <w:r w:rsidRPr="00D649C7">
              <w:t>dynabolts</w:t>
            </w:r>
          </w:p>
          <w:p w:rsidR="00000000" w:rsidRPr="00D649C7" w:rsidP="00D649C7">
            <w:pPr>
              <w:pStyle w:val="ListBullet"/>
            </w:pPr>
            <w:r w:rsidRPr="00D649C7">
              <w:t>split pins</w:t>
            </w:r>
          </w:p>
          <w:p w:rsidR="00000000" w:rsidRPr="00D649C7" w:rsidP="00D649C7">
            <w:pPr>
              <w:pStyle w:val="ListBullet"/>
            </w:pPr>
            <w:r w:rsidRPr="00D649C7">
              <w:t>nuts and bolts</w:t>
            </w:r>
          </w:p>
          <w:p w:rsidR="00000000" w:rsidRPr="00D649C7" w:rsidP="00D649C7">
            <w:pPr>
              <w:pStyle w:val="ListBullet"/>
            </w:pPr>
            <w:r w:rsidRPr="00D649C7">
              <w:t>cord locks</w:t>
            </w:r>
          </w:p>
          <w:p w:rsidR="00000000" w:rsidRPr="00D649C7" w:rsidP="00D649C7">
            <w:pPr>
              <w:pStyle w:val="ListBullet"/>
            </w:pPr>
            <w:r w:rsidRPr="00D649C7">
              <w:t>wands</w:t>
            </w:r>
          </w:p>
          <w:p w:rsidR="00000000" w:rsidRPr="00D649C7" w:rsidP="00D649C7">
            <w:pPr>
              <w:pStyle w:val="ListBullet"/>
            </w:pPr>
            <w:r w:rsidRPr="00D649C7">
              <w:t xml:space="preserve">head rails </w:t>
            </w:r>
          </w:p>
          <w:p w:rsidR="00000000" w:rsidP="00D649C7">
            <w:pPr>
              <w:pStyle w:val="ListBullet"/>
              <w:rPr>
                <w:lang w:val="en-NZ"/>
              </w:rPr>
            </w:pPr>
            <w:r w:rsidRPr="00D649C7">
              <w:t>head boxes</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Fixings include:</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chemical anchors</w:t>
            </w:r>
          </w:p>
          <w:p w:rsidR="00000000" w:rsidRPr="00D649C7" w:rsidP="00D649C7">
            <w:pPr>
              <w:pStyle w:val="ListBullet"/>
            </w:pPr>
            <w:r w:rsidRPr="00D649C7">
              <w:t>hollow wall anchors</w:t>
            </w:r>
          </w:p>
          <w:p w:rsidR="00000000" w:rsidRPr="00D649C7" w:rsidP="00D649C7">
            <w:pPr>
              <w:pStyle w:val="ListBullet"/>
            </w:pPr>
            <w:r w:rsidRPr="00D649C7">
              <w:t>spring brackets</w:t>
            </w:r>
          </w:p>
          <w:p w:rsidR="00000000" w:rsidRPr="00D649C7" w:rsidP="00D649C7">
            <w:pPr>
              <w:pStyle w:val="ListBullet"/>
            </w:pPr>
            <w:r w:rsidRPr="00D649C7">
              <w:t>mongo plugs</w:t>
            </w:r>
          </w:p>
          <w:p w:rsidR="00000000" w:rsidRPr="00D649C7" w:rsidP="00D649C7">
            <w:pPr>
              <w:pStyle w:val="ListBullet"/>
            </w:pPr>
            <w:r w:rsidRPr="00D649C7">
              <w:t>masking tape</w:t>
            </w:r>
          </w:p>
          <w:p w:rsidR="00000000" w:rsidP="00D649C7">
            <w:pPr>
              <w:pStyle w:val="ListBullet"/>
              <w:rPr>
                <w:lang w:val="en-NZ"/>
              </w:rPr>
            </w:pPr>
            <w:r w:rsidRPr="00D649C7">
              <w:t>silicone spray and silastic</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pop rivet guns</w:t>
            </w:r>
          </w:p>
          <w:p w:rsidR="00000000" w:rsidRPr="00D649C7" w:rsidP="00D649C7">
            <w:pPr>
              <w:pStyle w:val="ListBullet"/>
            </w:pPr>
            <w:r w:rsidRPr="00D649C7">
              <w:t>screwdriver (hand, power and cordless)</w:t>
            </w:r>
          </w:p>
          <w:p w:rsidR="00000000" w:rsidRPr="00D649C7" w:rsidP="00D649C7">
            <w:pPr>
              <w:pStyle w:val="ListBullet"/>
            </w:pPr>
            <w:r w:rsidRPr="00D649C7">
              <w:t>hammer</w:t>
            </w:r>
          </w:p>
          <w:p w:rsidR="00000000" w:rsidRPr="00D649C7" w:rsidP="00D649C7">
            <w:pPr>
              <w:pStyle w:val="ListBullet"/>
            </w:pPr>
            <w:r w:rsidRPr="00D649C7">
              <w:t>drills (hand, powered and cordless)</w:t>
            </w:r>
          </w:p>
          <w:p w:rsidR="00000000" w:rsidRPr="00D649C7" w:rsidP="00D649C7">
            <w:pPr>
              <w:pStyle w:val="ListBullet"/>
            </w:pPr>
            <w:r w:rsidRPr="00D649C7">
              <w:t xml:space="preserve">hollow wall anchor gun </w:t>
            </w:r>
          </w:p>
          <w:p w:rsidR="00000000" w:rsidP="00D649C7">
            <w:pPr>
              <w:pStyle w:val="ListBullet"/>
              <w:rPr>
                <w:lang w:val="en-NZ"/>
              </w:rPr>
            </w:pPr>
            <w:r w:rsidRPr="00D649C7">
              <w:t>caulking gun</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Work instructions inc</w:t>
            </w:r>
            <w:r w:rsidRPr="00D649C7">
              <w:rPr>
                <w:rStyle w:val="SpecialBold"/>
              </w:rPr>
              <w:t>lude:</w:t>
            </w:r>
          </w:p>
        </w:tc>
        <w:tc>
          <w:tcPr>
            <w:tcW w:w="6312" w:type="dxa"/>
            <w:tcBorders>
              <w:top w:val="nil"/>
              <w:left w:val="nil"/>
              <w:bottom w:val="nil"/>
              <w:right w:val="nil"/>
            </w:tcBorders>
            <w:tcMar>
              <w:top w:w="0" w:type="dxa"/>
              <w:left w:w="62" w:type="dxa"/>
              <w:bottom w:w="0" w:type="dxa"/>
              <w:right w:w="62" w:type="dxa"/>
            </w:tcMar>
          </w:tcPr>
          <w:p w:rsidR="00000000" w:rsidP="00D649C7">
            <w:pPr>
              <w:pStyle w:val="ListBullet"/>
              <w:rPr>
                <w:lang w:val="en-NZ"/>
              </w:rPr>
            </w:pPr>
            <w:r w:rsidRPr="00D649C7">
              <w:t>instructions for the application of hardware components</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Quality standards include:</w:t>
            </w:r>
          </w:p>
        </w:tc>
        <w:tc>
          <w:tcPr>
            <w:tcW w:w="6312" w:type="dxa"/>
            <w:tcBorders>
              <w:top w:val="nil"/>
              <w:left w:val="nil"/>
              <w:bottom w:val="nil"/>
              <w:right w:val="nil"/>
            </w:tcBorders>
            <w:tcMar>
              <w:top w:w="0" w:type="dxa"/>
              <w:left w:w="62" w:type="dxa"/>
              <w:bottom w:w="0" w:type="dxa"/>
              <w:right w:w="62" w:type="dxa"/>
            </w:tcMar>
          </w:tcPr>
          <w:p w:rsidR="00000000" w:rsidP="00D649C7">
            <w:pPr>
              <w:pStyle w:val="ListBullet"/>
              <w:rPr>
                <w:lang w:val="en-NZ"/>
              </w:rPr>
            </w:pPr>
            <w:r w:rsidRPr="00D649C7">
              <w:t>standards set at workplace level</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textiles</w:t>
            </w:r>
          </w:p>
          <w:p w:rsidR="00000000" w:rsidRPr="00D649C7" w:rsidP="00D649C7">
            <w:pPr>
              <w:pStyle w:val="ListBullet"/>
            </w:pPr>
            <w:r w:rsidRPr="00D649C7">
              <w:t>metals</w:t>
            </w:r>
          </w:p>
          <w:p w:rsidR="00000000" w:rsidRPr="00D649C7" w:rsidP="00D649C7">
            <w:pPr>
              <w:pStyle w:val="ListBullet"/>
            </w:pPr>
            <w:r w:rsidRPr="00D649C7">
              <w:t>timber</w:t>
            </w:r>
          </w:p>
          <w:p w:rsidR="00000000" w:rsidRPr="00D649C7" w:rsidP="00D649C7">
            <w:pPr>
              <w:pStyle w:val="ListBullet"/>
            </w:pPr>
            <w:r w:rsidRPr="00D649C7">
              <w:t>masonry</w:t>
            </w:r>
          </w:p>
          <w:p w:rsidR="00000000" w:rsidRPr="00D649C7" w:rsidP="00D649C7">
            <w:pPr>
              <w:pStyle w:val="ListBullet"/>
            </w:pPr>
            <w:r w:rsidRPr="00D649C7">
              <w:t>plaster</w:t>
            </w:r>
          </w:p>
          <w:p w:rsidR="00000000" w:rsidRPr="00D649C7" w:rsidP="00D649C7">
            <w:pPr>
              <w:pStyle w:val="ListBullet"/>
            </w:pPr>
            <w:r w:rsidRPr="00D649C7">
              <w:t>plastic and paper packaging</w:t>
            </w:r>
          </w:p>
          <w:p w:rsidR="00000000" w:rsidRPr="00D649C7" w:rsidP="00D649C7">
            <w:pPr>
              <w:pStyle w:val="ListBullet"/>
            </w:pPr>
            <w:r w:rsidRPr="00D649C7">
              <w:t>broken hardware and fixings</w:t>
            </w:r>
          </w:p>
          <w:p w:rsidR="00000000" w:rsidRPr="00D649C7" w:rsidP="00D649C7">
            <w:pPr>
              <w:pStyle w:val="ListBullet"/>
            </w:pPr>
            <w:r w:rsidRPr="00D649C7">
              <w:t xml:space="preserve">tape rolls </w:t>
            </w:r>
          </w:p>
          <w:p w:rsidR="00000000" w:rsidP="00D649C7">
            <w:pPr>
              <w:pStyle w:val="ListBullet"/>
              <w:rPr>
                <w:lang w:val="en-NZ"/>
              </w:rPr>
            </w:pPr>
            <w:r w:rsidRPr="00D649C7">
              <w:t>spr</w:t>
            </w:r>
            <w:r w:rsidRPr="00D649C7">
              <w:t>ay cans</w:t>
            </w:r>
          </w:p>
        </w:tc>
      </w:tr>
      <w:tr w:rsidTr="00D649C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49C7">
            <w:pPr>
              <w:pStyle w:val="BodyText"/>
              <w:rPr>
                <w:lang w:val="en-NZ"/>
              </w:rPr>
            </w:pPr>
            <w:r w:rsidRPr="00D649C7">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D649C7" w:rsidP="00D649C7">
            <w:pPr>
              <w:pStyle w:val="ListBullet"/>
            </w:pPr>
            <w:r w:rsidRPr="00D649C7">
              <w:t>time sheets</w:t>
            </w:r>
          </w:p>
          <w:p w:rsidR="00000000" w:rsidRPr="00D649C7" w:rsidP="00D649C7">
            <w:pPr>
              <w:pStyle w:val="ListBullet"/>
            </w:pPr>
            <w:r w:rsidRPr="00D649C7">
              <w:t xml:space="preserve">customer care cards </w:t>
            </w:r>
          </w:p>
          <w:p w:rsidR="00000000" w:rsidRPr="00D649C7" w:rsidP="00D649C7">
            <w:pPr>
              <w:pStyle w:val="ListBullet"/>
            </w:pPr>
            <w:r w:rsidRPr="00D649C7">
              <w:t>work orders</w:t>
            </w:r>
          </w:p>
        </w:tc>
      </w:tr>
    </w:tbl>
    <w:p w:rsidR="008F1BF1" w:rsidP="00D649C7">
      <w:pPr>
        <w:pStyle w:val="BodyText"/>
      </w:pPr>
    </w:p>
    <w:p w:rsidR="008F1BF1" w:rsidP="00D649C7">
      <w:pPr>
        <w:pStyle w:val="BodyText"/>
      </w:pPr>
    </w:p>
    <w:p w:rsidR="00000000" w:rsidRPr="00D649C7" w:rsidP="00D649C7">
      <w:pPr>
        <w:pStyle w:val="Heading1"/>
      </w:pPr>
      <w:bookmarkStart w:id="9" w:name="O_629896"/>
      <w:bookmarkEnd w:id="9"/>
      <w:r w:rsidRPr="00D649C7">
        <w:t>Unit Mapping Information</w:t>
      </w:r>
    </w:p>
    <w:p w:rsidR="008F1BF1" w:rsidP="00D649C7">
      <w:pPr>
        <w:pStyle w:val="BodyText"/>
      </w:pPr>
      <w:r w:rsidRPr="00D649C7">
        <w:t>Supersedes and is equivalent to LMF2004A Select and apply blinds and awnings hardware and fittings</w:t>
      </w:r>
    </w:p>
    <w:p w:rsidR="008F1BF1" w:rsidP="00D649C7">
      <w:pPr>
        <w:pStyle w:val="BodyText"/>
      </w:pPr>
    </w:p>
    <w:p w:rsidR="00000000" w:rsidRPr="00D649C7" w:rsidP="00D649C7">
      <w:pPr>
        <w:pStyle w:val="Heading1"/>
      </w:pPr>
      <w:bookmarkStart w:id="10" w:name="O_629889"/>
      <w:bookmarkEnd w:id="10"/>
      <w:r w:rsidRPr="00D649C7">
        <w:t>Links</w:t>
      </w:r>
    </w:p>
    <w:p w:rsidR="00000000" w:rsidRPr="00D649C7" w:rsidP="00D649C7">
      <w:pPr>
        <w:pStyle w:val="BodyText"/>
      </w:pPr>
      <w:r w:rsidRPr="00D649C7">
        <w:t>Companion Volume implementation guides are found in VETNet - https://vetnet.education.gov.au/Pages/TrainingDocs.aspx?q=0601ab95-583a-4e93-b2d4-cfb27b03ed73</w:t>
      </w:r>
    </w:p>
    <w:p w:rsidR="00000000" w:rsidRPr="00D649C7" w:rsidP="00D649C7"/>
    <w:sectPr w:rsidSect="00D649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C7" w:rsidRPr="008F1BF1" w:rsidP="008F1B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F1" w:rsidP="00D64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F1BF1" w:rsidP="00D649C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1BF1" w:rsidP="00D64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9C7" w:rsidRPr="008F1BF1" w:rsidP="008F1B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F1" w:rsidRPr="002D2AF8" w:rsidP="00D649C7">
    <w:pPr>
      <w:pStyle w:val="Header"/>
      <w:framePr w:wrap="around"/>
    </w:pPr>
    <w:r>
      <w:fldChar w:fldCharType="begin"/>
    </w:r>
    <w:r>
      <w:instrText xml:space="preserve"> TITLE   \* MERGEFORMAT </w:instrText>
    </w:r>
    <w:r>
      <w:fldChar w:fldCharType="separate"/>
    </w:r>
    <w:r>
      <w:t>MSFBA2003 Select and apply blinds and awnings hardware and fixings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8F1BF1" w:rsidP="00D64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7222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A63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9C7"/>
    <w:pPr>
      <w:spacing w:before="360" w:after="60"/>
      <w:outlineLvl w:val="0"/>
    </w:pPr>
    <w:rPr>
      <w:sz w:val="32"/>
    </w:rPr>
  </w:style>
  <w:style w:type="paragraph" w:styleId="Heading2">
    <w:name w:val="heading 2"/>
    <w:basedOn w:val="HeadingBase"/>
    <w:next w:val="BodyText"/>
    <w:link w:val="Heading2Char"/>
    <w:qFormat/>
    <w:rsid w:val="00D649C7"/>
    <w:pPr>
      <w:keepLines/>
      <w:spacing w:before="240" w:after="120"/>
      <w:outlineLvl w:val="1"/>
    </w:pPr>
    <w:rPr>
      <w:sz w:val="28"/>
      <w:szCs w:val="40"/>
    </w:rPr>
  </w:style>
  <w:style w:type="paragraph" w:styleId="Heading3">
    <w:name w:val="heading 3"/>
    <w:basedOn w:val="HeadingBase"/>
    <w:next w:val="BodyText"/>
    <w:link w:val="Heading3Char"/>
    <w:qFormat/>
    <w:rsid w:val="00D649C7"/>
    <w:pPr>
      <w:spacing w:before="180" w:after="120"/>
      <w:outlineLvl w:val="2"/>
    </w:pPr>
    <w:rPr>
      <w:spacing w:val="-10"/>
      <w:kern w:val="32"/>
    </w:rPr>
  </w:style>
  <w:style w:type="paragraph" w:styleId="Heading4">
    <w:name w:val="heading 4"/>
    <w:basedOn w:val="HeadingBase"/>
    <w:next w:val="BodyText"/>
    <w:link w:val="Heading4Char"/>
    <w:qFormat/>
    <w:rsid w:val="00D649C7"/>
    <w:pPr>
      <w:spacing w:before="160" w:after="120"/>
      <w:outlineLvl w:val="3"/>
    </w:pPr>
    <w:rPr>
      <w:sz w:val="22"/>
    </w:rPr>
  </w:style>
  <w:style w:type="paragraph" w:styleId="Heading5">
    <w:name w:val="heading 5"/>
    <w:basedOn w:val="HeadingBase"/>
    <w:next w:val="Normal"/>
    <w:link w:val="Heading5Char"/>
    <w:qFormat/>
    <w:rsid w:val="00D649C7"/>
    <w:pPr>
      <w:spacing w:before="80"/>
      <w:outlineLvl w:val="4"/>
    </w:pPr>
    <w:rPr>
      <w:color w:val="918585"/>
      <w:sz w:val="20"/>
    </w:rPr>
  </w:style>
  <w:style w:type="paragraph" w:styleId="Heading6">
    <w:name w:val="heading 6"/>
    <w:basedOn w:val="HeadingBase"/>
    <w:next w:val="Normal"/>
    <w:link w:val="Heading6Char"/>
    <w:qFormat/>
    <w:rsid w:val="00D649C7"/>
    <w:pPr>
      <w:spacing w:before="60"/>
      <w:outlineLvl w:val="5"/>
    </w:pPr>
    <w:rPr>
      <w:color w:val="918585"/>
      <w:sz w:val="20"/>
    </w:rPr>
  </w:style>
  <w:style w:type="paragraph" w:styleId="Heading7">
    <w:name w:val="heading 7"/>
    <w:basedOn w:val="Normal"/>
    <w:next w:val="Normal"/>
    <w:link w:val="Heading7Char"/>
    <w:qFormat/>
    <w:rsid w:val="00D649C7"/>
    <w:pPr>
      <w:ind w:left="720"/>
      <w:outlineLvl w:val="6"/>
    </w:pPr>
    <w:rPr>
      <w:i/>
    </w:rPr>
  </w:style>
  <w:style w:type="paragraph" w:styleId="Heading8">
    <w:name w:val="heading 8"/>
    <w:basedOn w:val="Normal"/>
    <w:next w:val="Normal"/>
    <w:link w:val="Heading8Char"/>
    <w:qFormat/>
    <w:rsid w:val="00D649C7"/>
    <w:pPr>
      <w:ind w:left="720"/>
      <w:outlineLvl w:val="7"/>
    </w:pPr>
    <w:rPr>
      <w:i/>
    </w:rPr>
  </w:style>
  <w:style w:type="paragraph" w:styleId="Heading9">
    <w:name w:val="heading 9"/>
    <w:basedOn w:val="Normal"/>
    <w:next w:val="Normal"/>
    <w:link w:val="Heading9Char"/>
    <w:qFormat/>
    <w:rsid w:val="00D649C7"/>
    <w:pPr>
      <w:ind w:left="720"/>
      <w:outlineLvl w:val="8"/>
    </w:pPr>
    <w:rPr>
      <w:i/>
    </w:rPr>
  </w:style>
  <w:style w:type="character" w:default="1" w:styleId="DefaultParagraphFont">
    <w:name w:val="Default Paragraph Font"/>
    <w:uiPriority w:val="1"/>
    <w:unhideWhenUsed/>
    <w:rsid w:val="00D64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9C7"/>
  </w:style>
  <w:style w:type="character" w:customStyle="1" w:styleId="Heading1Char">
    <w:name w:val="Heading 1 Char"/>
    <w:basedOn w:val="DefaultParagraphFont"/>
    <w:link w:val="Heading1"/>
    <w:rsid w:val="00D649C7"/>
    <w:rPr>
      <w:rFonts w:ascii="Times New Roman" w:eastAsia="Times New Roman" w:hAnsi="Times New Roman" w:cs="Times New Roman"/>
      <w:b/>
      <w:sz w:val="32"/>
      <w:szCs w:val="20"/>
      <w:lang w:eastAsia="en-US"/>
    </w:rPr>
  </w:style>
  <w:style w:type="paragraph" w:styleId="BodyText">
    <w:name w:val="Body Text"/>
    <w:basedOn w:val="Normal"/>
    <w:link w:val="BodyTextChar"/>
    <w:rsid w:val="00D64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9C7"/>
    <w:rPr>
      <w:rFonts w:ascii="Times New Roman" w:eastAsia="Times New Roman" w:hAnsi="Times New Roman" w:cs="Times New Roman"/>
      <w:sz w:val="24"/>
      <w:lang w:eastAsia="en-US"/>
    </w:rPr>
  </w:style>
  <w:style w:type="paragraph" w:styleId="ListBullet">
    <w:name w:val="List Bullet"/>
    <w:basedOn w:val="List"/>
    <w:rsid w:val="00D649C7"/>
    <w:pPr>
      <w:numPr>
        <w:numId w:val="12"/>
      </w:numPr>
      <w:tabs>
        <w:tab w:val="clear" w:pos="340"/>
      </w:tabs>
      <w:spacing w:before="40" w:after="40"/>
    </w:pPr>
  </w:style>
  <w:style w:type="character" w:customStyle="1" w:styleId="SpecialBold">
    <w:name w:val="Special Bold"/>
    <w:basedOn w:val="DefaultParagraphFont"/>
    <w:rsid w:val="00D649C7"/>
    <w:rPr>
      <w:b/>
      <w:spacing w:val="0"/>
    </w:rPr>
  </w:style>
  <w:style w:type="paragraph" w:customStyle="1" w:styleId="SuperHeading">
    <w:name w:val="SuperHeading"/>
    <w:basedOn w:val="Normal"/>
    <w:rsid w:val="00D649C7"/>
    <w:pPr>
      <w:spacing w:before="240" w:after="120"/>
      <w:outlineLvl w:val="0"/>
    </w:pPr>
    <w:rPr>
      <w:rFonts w:ascii="Times New Roman" w:hAnsi="Times New Roman"/>
      <w:b/>
      <w:sz w:val="32"/>
    </w:rPr>
  </w:style>
  <w:style w:type="paragraph" w:customStyle="1" w:styleId="AllowPageBreak">
    <w:name w:val="AllowPageBreak"/>
    <w:rsid w:val="00D649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9C7"/>
    <w:rPr>
      <w:rFonts w:ascii="Courier New" w:eastAsia="Times New Roman" w:hAnsi="Courier New" w:cs="Times New Roman"/>
      <w:i/>
      <w:szCs w:val="20"/>
      <w:lang w:eastAsia="en-US"/>
    </w:rPr>
  </w:style>
  <w:style w:type="paragraph" w:customStyle="1" w:styleId="HeadingBase">
    <w:name w:val="Heading Base"/>
    <w:rsid w:val="00D64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9C7"/>
    <w:pPr>
      <w:tabs>
        <w:tab w:val="right" w:leader="dot" w:pos="9072"/>
      </w:tabs>
      <w:ind w:left="567"/>
    </w:pPr>
    <w:rPr>
      <w:szCs w:val="22"/>
    </w:rPr>
  </w:style>
  <w:style w:type="paragraph" w:customStyle="1" w:styleId="TOCBase">
    <w:name w:val="TOC Base"/>
    <w:rsid w:val="00D64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9C7"/>
    <w:pPr>
      <w:tabs>
        <w:tab w:val="right" w:leader="dot" w:pos="9072"/>
      </w:tabs>
      <w:spacing w:before="40" w:after="40"/>
      <w:ind w:left="284"/>
    </w:pPr>
    <w:rPr>
      <w:rFonts w:ascii="Times New Roman" w:hAnsi="Times New Roman"/>
    </w:rPr>
  </w:style>
  <w:style w:type="paragraph" w:styleId="TOC1">
    <w:name w:val="toc 1"/>
    <w:basedOn w:val="TOCBase"/>
    <w:next w:val="Normal"/>
    <w:rsid w:val="00D64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9C7"/>
    <w:rPr>
      <w:rFonts w:ascii="Times New Roman" w:eastAsia="Times New Roman" w:hAnsi="Times New Roman" w:cs="Times New Roman"/>
      <w:sz w:val="16"/>
      <w:lang w:eastAsia="en-US"/>
    </w:rPr>
  </w:style>
  <w:style w:type="paragraph" w:styleId="Title">
    <w:name w:val="Title"/>
    <w:basedOn w:val="HeadingBase"/>
    <w:link w:val="TitleChar"/>
    <w:qFormat/>
    <w:rsid w:val="00D649C7"/>
    <w:pPr>
      <w:spacing w:before="5040"/>
      <w:jc w:val="center"/>
    </w:pPr>
    <w:rPr>
      <w:sz w:val="48"/>
      <w:szCs w:val="72"/>
      <w:lang w:val="en-US"/>
    </w:rPr>
  </w:style>
  <w:style w:type="character" w:customStyle="1" w:styleId="TitleChar">
    <w:name w:val="Title Char"/>
    <w:basedOn w:val="DefaultParagraphFont"/>
    <w:link w:val="Title"/>
    <w:rsid w:val="00D64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9C7"/>
    <w:pPr>
      <w:tabs>
        <w:tab w:val="left" w:pos="3600"/>
        <w:tab w:val="left" w:pos="3958"/>
      </w:tabs>
    </w:pPr>
  </w:style>
  <w:style w:type="paragraph" w:styleId="List">
    <w:name w:val="List"/>
    <w:basedOn w:val="BodyText"/>
    <w:next w:val="BodyText"/>
    <w:rsid w:val="00D649C7"/>
    <w:pPr>
      <w:tabs>
        <w:tab w:val="left" w:pos="340"/>
      </w:tabs>
      <w:spacing w:before="60" w:after="60"/>
      <w:ind w:left="340" w:hanging="340"/>
    </w:pPr>
  </w:style>
  <w:style w:type="paragraph" w:customStyle="1" w:styleId="Note">
    <w:name w:val="Note"/>
    <w:basedOn w:val="BodyText"/>
    <w:rsid w:val="00D649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9C7"/>
    <w:pPr>
      <w:framePr w:wrap="auto" w:hAnchor="text" w:y="6049"/>
    </w:pPr>
    <w:rPr>
      <w:color w:val="000000"/>
      <w:sz w:val="40"/>
    </w:rPr>
  </w:style>
  <w:style w:type="paragraph" w:customStyle="1" w:styleId="TOCTitle">
    <w:name w:val="TOCTitle"/>
    <w:basedOn w:val="Heading1"/>
    <w:rsid w:val="00D649C7"/>
    <w:pPr>
      <w:spacing w:after="240"/>
      <w:jc w:val="center"/>
      <w:outlineLvl w:val="9"/>
    </w:pPr>
    <w:rPr>
      <w:caps/>
    </w:rPr>
  </w:style>
  <w:style w:type="paragraph" w:customStyle="1" w:styleId="Version">
    <w:name w:val="Version"/>
    <w:rsid w:val="00D649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9C7"/>
    <w:pPr>
      <w:numPr>
        <w:numId w:val="13"/>
      </w:numPr>
      <w:tabs>
        <w:tab w:val="clear" w:pos="680"/>
      </w:tabs>
    </w:pPr>
  </w:style>
  <w:style w:type="paragraph" w:styleId="Index1">
    <w:name w:val="index 1"/>
    <w:basedOn w:val="Normal"/>
    <w:next w:val="Normal"/>
    <w:semiHidden/>
    <w:rsid w:val="00D649C7"/>
    <w:pPr>
      <w:keepNext w:val="0"/>
      <w:tabs>
        <w:tab w:val="right" w:pos="4176"/>
      </w:tabs>
      <w:ind w:left="198" w:hanging="198"/>
    </w:pPr>
    <w:rPr>
      <w:rFonts w:ascii="Garamond" w:hAnsi="Garamond"/>
    </w:rPr>
  </w:style>
  <w:style w:type="paragraph" w:styleId="IndexHeading">
    <w:name w:val="index heading"/>
    <w:basedOn w:val="Normal"/>
    <w:next w:val="Index1"/>
    <w:semiHidden/>
    <w:rsid w:val="00D649C7"/>
    <w:pPr>
      <w:spacing w:before="120" w:after="120"/>
    </w:pPr>
    <w:rPr>
      <w:rFonts w:ascii="Arial" w:hAnsi="Arial"/>
      <w:b/>
      <w:color w:val="918585"/>
      <w:sz w:val="24"/>
    </w:rPr>
  </w:style>
  <w:style w:type="paragraph" w:styleId="Header">
    <w:name w:val="header"/>
    <w:basedOn w:val="Normal"/>
    <w:link w:val="HeaderChar"/>
    <w:rsid w:val="00D64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9C7"/>
    <w:rPr>
      <w:rFonts w:ascii="Times New Roman" w:eastAsia="Times New Roman" w:hAnsi="Times New Roman" w:cs="Times New Roman"/>
      <w:sz w:val="16"/>
      <w:szCs w:val="20"/>
      <w:lang w:val="en-GB" w:eastAsia="en-US"/>
    </w:rPr>
  </w:style>
  <w:style w:type="paragraph" w:customStyle="1" w:styleId="Chapter">
    <w:name w:val="Chapter"/>
    <w:basedOn w:val="Normal"/>
    <w:rsid w:val="00D649C7"/>
    <w:pPr>
      <w:spacing w:before="240"/>
    </w:pPr>
    <w:rPr>
      <w:rFonts w:ascii="Times New Roman" w:hAnsi="Times New Roman"/>
      <w:smallCaps/>
      <w:spacing w:val="80"/>
      <w:sz w:val="28"/>
    </w:rPr>
  </w:style>
  <w:style w:type="paragraph" w:customStyle="1" w:styleId="InChapter">
    <w:name w:val="InChapter"/>
    <w:basedOn w:val="Heading3"/>
    <w:rsid w:val="00D649C7"/>
    <w:pPr>
      <w:spacing w:after="240"/>
      <w:outlineLvl w:val="9"/>
    </w:pPr>
    <w:rPr>
      <w:noProof/>
    </w:rPr>
  </w:style>
  <w:style w:type="paragraph" w:styleId="Index2">
    <w:name w:val="index 2"/>
    <w:basedOn w:val="Normal"/>
    <w:next w:val="Normal"/>
    <w:semiHidden/>
    <w:rsid w:val="00D649C7"/>
    <w:pPr>
      <w:tabs>
        <w:tab w:val="right" w:pos="4176"/>
      </w:tabs>
      <w:ind w:left="568" w:hanging="284"/>
    </w:pPr>
    <w:rPr>
      <w:rFonts w:ascii="Garamond" w:hAnsi="Garamond"/>
    </w:rPr>
  </w:style>
  <w:style w:type="paragraph" w:customStyle="1" w:styleId="Byline">
    <w:name w:val="Byline"/>
    <w:rsid w:val="00D64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9C7"/>
    <w:pPr>
      <w:tabs>
        <w:tab w:val="clear" w:pos="3600"/>
        <w:tab w:val="clear" w:pos="3958"/>
      </w:tabs>
      <w:jc w:val="right"/>
    </w:pPr>
  </w:style>
  <w:style w:type="character" w:styleId="Emphasis">
    <w:name w:val="Emphasis"/>
    <w:basedOn w:val="DefaultParagraphFont"/>
    <w:qFormat/>
    <w:rsid w:val="00D649C7"/>
    <w:rPr>
      <w:i/>
    </w:rPr>
  </w:style>
  <w:style w:type="paragraph" w:styleId="Caption">
    <w:name w:val="caption"/>
    <w:basedOn w:val="BodyText"/>
    <w:next w:val="Normal"/>
    <w:qFormat/>
    <w:rsid w:val="00D649C7"/>
    <w:pPr>
      <w:framePr w:w="2268" w:hSpace="181" w:vSpace="181" w:wrap="around" w:vAnchor="text" w:hAnchor="page" w:x="1135" w:y="285" w:anchorLock="1"/>
    </w:pPr>
    <w:rPr>
      <w:i/>
    </w:rPr>
  </w:style>
  <w:style w:type="paragraph" w:customStyle="1" w:styleId="MiniTOCTitle">
    <w:name w:val="MiniTOCTitle"/>
    <w:basedOn w:val="Heading4"/>
    <w:rsid w:val="00D649C7"/>
    <w:pPr>
      <w:spacing w:before="240"/>
      <w:outlineLvl w:val="9"/>
    </w:pPr>
    <w:rPr>
      <w:noProof/>
      <w:sz w:val="24"/>
    </w:rPr>
  </w:style>
  <w:style w:type="paragraph" w:customStyle="1" w:styleId="MiniTOCItem">
    <w:name w:val="MiniTOCItem"/>
    <w:basedOn w:val="ListBullet"/>
    <w:rsid w:val="00D649C7"/>
    <w:pPr>
      <w:numPr>
        <w:numId w:val="0"/>
      </w:numPr>
      <w:tabs>
        <w:tab w:val="right" w:leader="dot" w:pos="6521"/>
      </w:tabs>
      <w:spacing w:before="0" w:after="0"/>
    </w:pPr>
  </w:style>
  <w:style w:type="paragraph" w:customStyle="1" w:styleId="TOFTitle">
    <w:name w:val="TOFTitle"/>
    <w:basedOn w:val="TOCTitle"/>
    <w:rsid w:val="00D649C7"/>
  </w:style>
  <w:style w:type="paragraph" w:styleId="TableofFigures">
    <w:name w:val="table of figures"/>
    <w:basedOn w:val="Normal"/>
    <w:next w:val="Normal"/>
    <w:semiHidden/>
    <w:rsid w:val="00D649C7"/>
    <w:pPr>
      <w:tabs>
        <w:tab w:val="right" w:leader="dot" w:pos="9072"/>
      </w:tabs>
      <w:ind w:left="970" w:hanging="403"/>
    </w:pPr>
    <w:rPr>
      <w:rFonts w:ascii="Times New Roman" w:hAnsi="Times New Roman"/>
      <w:b/>
    </w:rPr>
  </w:style>
  <w:style w:type="paragraph" w:styleId="ListNumber">
    <w:name w:val="List Number"/>
    <w:basedOn w:val="List"/>
    <w:rsid w:val="00D649C7"/>
    <w:pPr>
      <w:numPr>
        <w:numId w:val="10"/>
      </w:numPr>
    </w:pPr>
  </w:style>
  <w:style w:type="character" w:customStyle="1" w:styleId="WingdingSymbols">
    <w:name w:val="Wingding Symbols"/>
    <w:rsid w:val="00D649C7"/>
    <w:rPr>
      <w:rFonts w:ascii="Wingdings" w:hAnsi="Wingdings"/>
    </w:rPr>
  </w:style>
  <w:style w:type="paragraph" w:customStyle="1" w:styleId="TableHeading">
    <w:name w:val="Table Heading"/>
    <w:basedOn w:val="HeadingBase"/>
    <w:rsid w:val="00D649C7"/>
    <w:pPr>
      <w:keepLines/>
      <w:pBdr>
        <w:bottom w:val="single" w:sz="6" w:space="1" w:color="918585"/>
      </w:pBdr>
      <w:spacing w:before="240"/>
    </w:pPr>
  </w:style>
  <w:style w:type="character" w:customStyle="1" w:styleId="HotSpot">
    <w:name w:val="HotSpot"/>
    <w:rsid w:val="00D649C7"/>
    <w:rPr>
      <w:color w:val="0033CC"/>
      <w:u w:val="none"/>
    </w:rPr>
  </w:style>
  <w:style w:type="paragraph" w:customStyle="1" w:styleId="BodyTextRight">
    <w:name w:val="Body Text Right"/>
    <w:basedOn w:val="BodyText"/>
    <w:rsid w:val="00D649C7"/>
    <w:pPr>
      <w:spacing w:before="0" w:after="0"/>
      <w:jc w:val="right"/>
    </w:pPr>
  </w:style>
  <w:style w:type="paragraph" w:styleId="Index3">
    <w:name w:val="index 3"/>
    <w:basedOn w:val="ListNumber2"/>
    <w:next w:val="Normal"/>
    <w:semiHidden/>
    <w:rsid w:val="00D649C7"/>
    <w:pPr>
      <w:numPr>
        <w:numId w:val="0"/>
      </w:numPr>
      <w:tabs>
        <w:tab w:val="right" w:leader="dot" w:pos="4176"/>
      </w:tabs>
    </w:pPr>
  </w:style>
  <w:style w:type="paragraph" w:styleId="ListNumber2">
    <w:name w:val="List Number 2"/>
    <w:basedOn w:val="List2"/>
    <w:rsid w:val="00D649C7"/>
    <w:pPr>
      <w:numPr>
        <w:numId w:val="9"/>
      </w:numPr>
      <w:tabs>
        <w:tab w:val="clear" w:pos="1060"/>
      </w:tabs>
    </w:pPr>
  </w:style>
  <w:style w:type="paragraph" w:customStyle="1" w:styleId="MarginNote">
    <w:name w:val="Margin Note"/>
    <w:basedOn w:val="BodyText"/>
    <w:rsid w:val="00D64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9C7"/>
    <w:rPr>
      <w:sz w:val="32"/>
    </w:rPr>
  </w:style>
  <w:style w:type="paragraph" w:customStyle="1" w:styleId="HeadingProcedure">
    <w:name w:val="Heading Procedure"/>
    <w:basedOn w:val="HeadingBase"/>
    <w:next w:val="Normal"/>
    <w:rsid w:val="00D649C7"/>
    <w:pPr>
      <w:tabs>
        <w:tab w:val="left" w:pos="0"/>
      </w:tabs>
      <w:spacing w:before="120" w:after="60"/>
    </w:pPr>
    <w:rPr>
      <w:i/>
      <w:color w:val="918585"/>
      <w:sz w:val="22"/>
    </w:rPr>
  </w:style>
  <w:style w:type="paragraph" w:customStyle="1" w:styleId="TableBodyText">
    <w:name w:val="Table Body Text"/>
    <w:basedOn w:val="BodyText"/>
    <w:rsid w:val="00D649C7"/>
    <w:pPr>
      <w:spacing w:before="60" w:after="60"/>
    </w:pPr>
  </w:style>
  <w:style w:type="paragraph" w:styleId="ListContinue">
    <w:name w:val="List Continue"/>
    <w:basedOn w:val="List"/>
    <w:rsid w:val="00D649C7"/>
    <w:pPr>
      <w:ind w:firstLine="0"/>
    </w:pPr>
  </w:style>
  <w:style w:type="paragraph" w:customStyle="1" w:styleId="ListNote">
    <w:name w:val="List Note"/>
    <w:basedOn w:val="List"/>
    <w:rsid w:val="00D649C7"/>
    <w:pPr>
      <w:pBdr>
        <w:top w:val="single" w:sz="6" w:space="2" w:color="918585"/>
        <w:bottom w:val="single" w:sz="6" w:space="2" w:color="918585"/>
      </w:pBdr>
      <w:tabs>
        <w:tab w:val="left" w:pos="1021"/>
      </w:tabs>
      <w:ind w:firstLine="0"/>
    </w:pPr>
  </w:style>
  <w:style w:type="paragraph" w:customStyle="1" w:styleId="Warning">
    <w:name w:val="Warning"/>
    <w:basedOn w:val="BodyText"/>
    <w:rsid w:val="00D649C7"/>
    <w:pPr>
      <w:shd w:val="clear" w:color="auto" w:fill="D9D9D9"/>
      <w:tabs>
        <w:tab w:val="left" w:pos="992"/>
      </w:tabs>
      <w:ind w:left="119" w:right="119"/>
    </w:pPr>
    <w:rPr>
      <w:sz w:val="20"/>
    </w:rPr>
  </w:style>
  <w:style w:type="paragraph" w:customStyle="1" w:styleId="MarginIcons">
    <w:name w:val="Margin Icons"/>
    <w:basedOn w:val="BodyText"/>
    <w:rsid w:val="00D64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9C7"/>
    <w:rPr>
      <w:rFonts w:ascii="Courier New" w:hAnsi="Courier New"/>
    </w:rPr>
  </w:style>
  <w:style w:type="paragraph" w:customStyle="1" w:styleId="NoteBullet">
    <w:name w:val="Note Bullet"/>
    <w:basedOn w:val="Note"/>
    <w:rsid w:val="00D649C7"/>
    <w:pPr>
      <w:tabs>
        <w:tab w:val="clear" w:pos="680"/>
      </w:tabs>
      <w:spacing w:before="60" w:after="60"/>
    </w:pPr>
  </w:style>
  <w:style w:type="paragraph" w:customStyle="1" w:styleId="SubHeading2">
    <w:name w:val="SubHeading2"/>
    <w:basedOn w:val="HeadingBase"/>
    <w:rsid w:val="00D649C7"/>
    <w:pPr>
      <w:spacing w:before="240" w:after="60"/>
    </w:pPr>
    <w:rPr>
      <w:sz w:val="20"/>
    </w:rPr>
  </w:style>
  <w:style w:type="paragraph" w:customStyle="1" w:styleId="SubHeading1">
    <w:name w:val="SubHeading1"/>
    <w:basedOn w:val="HeadingBase"/>
    <w:rsid w:val="00D649C7"/>
    <w:pPr>
      <w:spacing w:before="240" w:after="60"/>
    </w:pPr>
    <w:rPr>
      <w:color w:val="918585"/>
      <w:sz w:val="22"/>
    </w:rPr>
  </w:style>
  <w:style w:type="paragraph" w:customStyle="1" w:styleId="SideHeading">
    <w:name w:val="Side Heading"/>
    <w:basedOn w:val="HeadingBase"/>
    <w:rsid w:val="00D64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9C7"/>
    <w:pPr>
      <w:tabs>
        <w:tab w:val="num" w:pos="360"/>
      </w:tabs>
    </w:pPr>
  </w:style>
  <w:style w:type="paragraph" w:styleId="PlainText">
    <w:name w:val="Plain Text"/>
    <w:basedOn w:val="Normal"/>
    <w:link w:val="PlainTextChar"/>
    <w:rsid w:val="00D649C7"/>
    <w:rPr>
      <w:sz w:val="20"/>
    </w:rPr>
  </w:style>
  <w:style w:type="character" w:customStyle="1" w:styleId="PlainTextChar">
    <w:name w:val="Plain Text Char"/>
    <w:basedOn w:val="DefaultParagraphFont"/>
    <w:link w:val="PlainText"/>
    <w:rsid w:val="00D649C7"/>
    <w:rPr>
      <w:rFonts w:ascii="Courier New" w:eastAsia="Times New Roman" w:hAnsi="Courier New" w:cs="Times New Roman"/>
      <w:sz w:val="20"/>
      <w:szCs w:val="20"/>
      <w:lang w:eastAsia="en-US"/>
    </w:rPr>
  </w:style>
  <w:style w:type="character" w:customStyle="1" w:styleId="MenuOption">
    <w:name w:val="Menu Option"/>
    <w:basedOn w:val="DefaultParagraphFont"/>
    <w:rsid w:val="00D649C7"/>
    <w:rPr>
      <w:b/>
      <w:smallCaps/>
    </w:rPr>
  </w:style>
  <w:style w:type="paragraph" w:customStyle="1" w:styleId="TableListNumber">
    <w:name w:val="Table List Number"/>
    <w:basedOn w:val="ListNumber"/>
    <w:rsid w:val="00D649C7"/>
    <w:pPr>
      <w:numPr>
        <w:numId w:val="0"/>
      </w:numPr>
    </w:pPr>
  </w:style>
  <w:style w:type="paragraph" w:styleId="TOC4">
    <w:name w:val="toc 4"/>
    <w:basedOn w:val="TOCBase"/>
    <w:next w:val="Normal"/>
    <w:semiHidden/>
    <w:rsid w:val="00D649C7"/>
    <w:pPr>
      <w:tabs>
        <w:tab w:val="right" w:leader="dot" w:pos="9071"/>
      </w:tabs>
      <w:ind w:left="1701"/>
    </w:pPr>
  </w:style>
  <w:style w:type="paragraph" w:customStyle="1" w:styleId="ListAlpha">
    <w:name w:val="List Alpha"/>
    <w:basedOn w:val="List"/>
    <w:rsid w:val="00D649C7"/>
    <w:pPr>
      <w:numPr>
        <w:numId w:val="8"/>
      </w:numPr>
    </w:pPr>
  </w:style>
  <w:style w:type="paragraph" w:customStyle="1" w:styleId="ListAlpha2">
    <w:name w:val="List Alpha 2"/>
    <w:basedOn w:val="List2"/>
    <w:rsid w:val="00D649C7"/>
    <w:pPr>
      <w:numPr>
        <w:numId w:val="7"/>
      </w:numPr>
    </w:pPr>
  </w:style>
  <w:style w:type="paragraph" w:styleId="List2">
    <w:name w:val="List 2"/>
    <w:basedOn w:val="BodyText"/>
    <w:rsid w:val="00D649C7"/>
    <w:pPr>
      <w:tabs>
        <w:tab w:val="left" w:pos="680"/>
      </w:tabs>
      <w:spacing w:before="60" w:after="60"/>
      <w:ind w:left="680" w:hanging="340"/>
    </w:pPr>
  </w:style>
  <w:style w:type="paragraph" w:styleId="List3">
    <w:name w:val="List 3"/>
    <w:basedOn w:val="BodyText"/>
    <w:rsid w:val="00D649C7"/>
    <w:pPr>
      <w:tabs>
        <w:tab w:val="left" w:pos="1021"/>
      </w:tabs>
      <w:spacing w:before="60" w:after="60"/>
      <w:ind w:left="1020" w:hanging="340"/>
    </w:pPr>
  </w:style>
  <w:style w:type="paragraph" w:styleId="List4">
    <w:name w:val="List 4"/>
    <w:basedOn w:val="BodyText"/>
    <w:rsid w:val="00D649C7"/>
    <w:pPr>
      <w:tabs>
        <w:tab w:val="left" w:pos="1361"/>
      </w:tabs>
      <w:spacing w:before="60" w:after="60"/>
      <w:ind w:left="1361" w:hanging="340"/>
    </w:pPr>
  </w:style>
  <w:style w:type="paragraph" w:styleId="List5">
    <w:name w:val="List 5"/>
    <w:basedOn w:val="BodyText"/>
    <w:rsid w:val="00D649C7"/>
    <w:pPr>
      <w:tabs>
        <w:tab w:val="left" w:pos="1701"/>
      </w:tabs>
      <w:spacing w:before="60" w:after="60"/>
      <w:ind w:left="1701" w:hanging="340"/>
    </w:pPr>
  </w:style>
  <w:style w:type="paragraph" w:styleId="ListBullet3">
    <w:name w:val="List Bullet 3"/>
    <w:basedOn w:val="List3"/>
    <w:rsid w:val="00D649C7"/>
    <w:pPr>
      <w:numPr>
        <w:numId w:val="14"/>
      </w:numPr>
      <w:tabs>
        <w:tab w:val="clear" w:pos="1021"/>
      </w:tabs>
      <w:ind w:left="1037" w:hanging="357"/>
    </w:pPr>
  </w:style>
  <w:style w:type="paragraph" w:styleId="ListBullet4">
    <w:name w:val="List Bullet 4"/>
    <w:basedOn w:val="List4"/>
    <w:rsid w:val="00D649C7"/>
    <w:pPr>
      <w:numPr>
        <w:numId w:val="2"/>
      </w:numPr>
      <w:tabs>
        <w:tab w:val="clear" w:pos="1361"/>
      </w:tabs>
    </w:pPr>
  </w:style>
  <w:style w:type="paragraph" w:styleId="ListBullet5">
    <w:name w:val="List Bullet 5"/>
    <w:basedOn w:val="List5"/>
    <w:rsid w:val="00D649C7"/>
    <w:pPr>
      <w:numPr>
        <w:numId w:val="3"/>
      </w:numPr>
    </w:pPr>
  </w:style>
  <w:style w:type="paragraph" w:styleId="ListContinue2">
    <w:name w:val="List Continue 2"/>
    <w:basedOn w:val="List2"/>
    <w:rsid w:val="00D649C7"/>
    <w:pPr>
      <w:ind w:firstLine="0"/>
    </w:pPr>
  </w:style>
  <w:style w:type="paragraph" w:styleId="ListContinue3">
    <w:name w:val="List Continue 3"/>
    <w:basedOn w:val="List3"/>
    <w:rsid w:val="00D649C7"/>
    <w:pPr>
      <w:ind w:left="1021" w:firstLine="0"/>
    </w:pPr>
  </w:style>
  <w:style w:type="paragraph" w:styleId="ListContinue4">
    <w:name w:val="List Continue 4"/>
    <w:basedOn w:val="List4"/>
    <w:rsid w:val="00D649C7"/>
    <w:pPr>
      <w:ind w:firstLine="0"/>
    </w:pPr>
  </w:style>
  <w:style w:type="paragraph" w:styleId="ListContinue5">
    <w:name w:val="List Continue 5"/>
    <w:basedOn w:val="List5"/>
    <w:rsid w:val="00D649C7"/>
    <w:pPr>
      <w:ind w:firstLine="0"/>
    </w:pPr>
  </w:style>
  <w:style w:type="paragraph" w:styleId="ListNumber3">
    <w:name w:val="List Number 3"/>
    <w:basedOn w:val="List3"/>
    <w:rsid w:val="00D649C7"/>
    <w:pPr>
      <w:numPr>
        <w:numId w:val="4"/>
      </w:numPr>
    </w:pPr>
  </w:style>
  <w:style w:type="paragraph" w:styleId="ListNumber4">
    <w:name w:val="List Number 4"/>
    <w:basedOn w:val="List4"/>
    <w:rsid w:val="00D649C7"/>
    <w:pPr>
      <w:numPr>
        <w:numId w:val="5"/>
      </w:numPr>
    </w:pPr>
  </w:style>
  <w:style w:type="paragraph" w:styleId="ListNumber5">
    <w:name w:val="List Number 5"/>
    <w:basedOn w:val="List5"/>
    <w:rsid w:val="00D649C7"/>
    <w:pPr>
      <w:numPr>
        <w:numId w:val="6"/>
      </w:numPr>
    </w:pPr>
  </w:style>
  <w:style w:type="paragraph" w:styleId="BlockText">
    <w:name w:val="Block Text"/>
    <w:basedOn w:val="Normal"/>
    <w:rsid w:val="00D649C7"/>
    <w:pPr>
      <w:spacing w:after="120"/>
      <w:ind w:left="1440" w:right="1440"/>
    </w:pPr>
  </w:style>
  <w:style w:type="character" w:customStyle="1" w:styleId="Subscript">
    <w:name w:val="Subscript"/>
    <w:basedOn w:val="DefaultParagraphFont"/>
    <w:rsid w:val="00D649C7"/>
    <w:rPr>
      <w:sz w:val="16"/>
      <w:vertAlign w:val="subscript"/>
    </w:rPr>
  </w:style>
  <w:style w:type="character" w:customStyle="1" w:styleId="Superscript">
    <w:name w:val="Superscript"/>
    <w:basedOn w:val="DefaultParagraphFont"/>
    <w:rsid w:val="00D649C7"/>
    <w:rPr>
      <w:sz w:val="16"/>
      <w:vertAlign w:val="superscript"/>
    </w:rPr>
  </w:style>
  <w:style w:type="character" w:customStyle="1" w:styleId="Symbols">
    <w:name w:val="Symbols"/>
    <w:basedOn w:val="DefaultParagraphFont"/>
    <w:rsid w:val="00D649C7"/>
    <w:rPr>
      <w:rFonts w:ascii="Symbol" w:hAnsi="Symbol"/>
    </w:rPr>
  </w:style>
  <w:style w:type="character" w:customStyle="1" w:styleId="MenuOptions">
    <w:name w:val="Menu Options"/>
    <w:basedOn w:val="DefaultParagraphFont"/>
    <w:rsid w:val="00D649C7"/>
    <w:rPr>
      <w:rFonts w:ascii="Arial Narrow" w:hAnsi="Arial Narrow"/>
      <w:smallCaps/>
    </w:rPr>
  </w:style>
  <w:style w:type="character" w:customStyle="1" w:styleId="Buttons">
    <w:name w:val="Buttons"/>
    <w:basedOn w:val="DefaultParagraphFont"/>
    <w:rsid w:val="00D649C7"/>
    <w:rPr>
      <w:b/>
    </w:rPr>
  </w:style>
  <w:style w:type="character" w:customStyle="1" w:styleId="Underlined">
    <w:name w:val="Underlined"/>
    <w:basedOn w:val="DefaultParagraphFont"/>
    <w:rsid w:val="00D649C7"/>
    <w:rPr>
      <w:u w:val="single"/>
    </w:rPr>
  </w:style>
  <w:style w:type="paragraph" w:customStyle="1" w:styleId="TableBodyTextRight">
    <w:name w:val="Table Body Text Right"/>
    <w:basedOn w:val="TableBodyText"/>
    <w:rsid w:val="00D649C7"/>
    <w:pPr>
      <w:widowControl w:val="0"/>
      <w:autoSpaceDE w:val="0"/>
      <w:autoSpaceDN w:val="0"/>
      <w:adjustRightInd w:val="0"/>
      <w:jc w:val="right"/>
    </w:pPr>
    <w:rPr>
      <w:rFonts w:cs="Arial"/>
      <w:szCs w:val="18"/>
    </w:rPr>
  </w:style>
  <w:style w:type="paragraph" w:customStyle="1" w:styleId="CopyrightText">
    <w:name w:val="Copyright Text"/>
    <w:basedOn w:val="BodyText"/>
    <w:rsid w:val="00D649C7"/>
    <w:rPr>
      <w:sz w:val="18"/>
    </w:rPr>
  </w:style>
  <w:style w:type="paragraph" w:customStyle="1" w:styleId="BodySmallRight">
    <w:name w:val="Body Small Right"/>
    <w:basedOn w:val="BodyTextRight"/>
    <w:rsid w:val="00D649C7"/>
    <w:rPr>
      <w:sz w:val="18"/>
      <w:szCs w:val="18"/>
    </w:rPr>
  </w:style>
  <w:style w:type="paragraph" w:customStyle="1" w:styleId="MarginEdition">
    <w:name w:val="Margin Edition"/>
    <w:basedOn w:val="MarginNote"/>
    <w:rsid w:val="00D649C7"/>
    <w:pPr>
      <w:spacing w:before="0" w:after="0"/>
    </w:pPr>
    <w:rPr>
      <w:rFonts w:ascii="Times New Roman" w:hAnsi="Times New Roman"/>
      <w:color w:val="999999"/>
    </w:rPr>
  </w:style>
  <w:style w:type="paragraph" w:customStyle="1" w:styleId="Spacer">
    <w:name w:val="Spacer"/>
    <w:basedOn w:val="Normal"/>
    <w:rsid w:val="00D649C7"/>
    <w:rPr>
      <w:sz w:val="2"/>
      <w:szCs w:val="2"/>
    </w:rPr>
  </w:style>
  <w:style w:type="character" w:customStyle="1" w:styleId="Small">
    <w:name w:val="Small"/>
    <w:basedOn w:val="DefaultParagraphFont"/>
    <w:rsid w:val="00D649C7"/>
    <w:rPr>
      <w:sz w:val="16"/>
    </w:rPr>
  </w:style>
  <w:style w:type="paragraph" w:customStyle="1" w:styleId="WideTable">
    <w:name w:val="Wide Table"/>
    <w:basedOn w:val="Normal"/>
    <w:rsid w:val="00D649C7"/>
    <w:pPr>
      <w:ind w:left="-1418"/>
    </w:pPr>
    <w:rPr>
      <w:sz w:val="2"/>
      <w:szCs w:val="2"/>
    </w:rPr>
  </w:style>
  <w:style w:type="character" w:styleId="PageNumber">
    <w:name w:val="page number"/>
    <w:basedOn w:val="DefaultParagraphFont"/>
    <w:rsid w:val="00D649C7"/>
  </w:style>
  <w:style w:type="paragraph" w:styleId="Quote">
    <w:name w:val="Quote"/>
    <w:basedOn w:val="Heading1"/>
    <w:link w:val="QuoteChar"/>
    <w:qFormat/>
    <w:rsid w:val="00D649C7"/>
    <w:rPr>
      <w:b w:val="0"/>
      <w:sz w:val="72"/>
      <w:szCs w:val="72"/>
      <w:lang w:val="en-NZ"/>
    </w:rPr>
  </w:style>
  <w:style w:type="character" w:customStyle="1" w:styleId="QuoteChar">
    <w:name w:val="Quote Char"/>
    <w:basedOn w:val="DefaultParagraphFont"/>
    <w:link w:val="Quote"/>
    <w:rsid w:val="00D64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9C7"/>
    <w:pPr>
      <w:pageBreakBefore/>
    </w:pPr>
  </w:style>
  <w:style w:type="paragraph" w:customStyle="1" w:styleId="Border">
    <w:name w:val="Border"/>
    <w:basedOn w:val="Normal"/>
    <w:qFormat/>
    <w:rsid w:val="00D64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9C7"/>
    <w:rPr>
      <w:b/>
      <w:bCs/>
      <w:i/>
      <w:iCs/>
      <w:color w:val="auto"/>
    </w:rPr>
  </w:style>
  <w:style w:type="paragraph" w:styleId="IntenseQuote">
    <w:name w:val="Intense Quote"/>
    <w:basedOn w:val="Normal"/>
    <w:next w:val="Normal"/>
    <w:link w:val="IntenseQuoteChar"/>
    <w:uiPriority w:val="30"/>
    <w:qFormat/>
    <w:rsid w:val="00D64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9C7"/>
    <w:rPr>
      <w:smallCaps/>
      <w:color w:val="auto"/>
      <w:u w:val="single"/>
    </w:rPr>
  </w:style>
  <w:style w:type="character" w:styleId="IntenseReference">
    <w:name w:val="Intense Reference"/>
    <w:basedOn w:val="DefaultParagraphFont"/>
    <w:uiPriority w:val="32"/>
    <w:qFormat/>
    <w:rsid w:val="00D649C7"/>
    <w:rPr>
      <w:b/>
      <w:bCs/>
      <w:smallCaps/>
      <w:color w:val="auto"/>
      <w:spacing w:val="5"/>
      <w:u w:val="single"/>
    </w:rPr>
  </w:style>
  <w:style w:type="paragraph" w:customStyle="1" w:styleId="2ColumnHeading">
    <w:name w:val="2Column Heading"/>
    <w:basedOn w:val="BodyText"/>
    <w:qFormat/>
    <w:rsid w:val="00D649C7"/>
    <w:pPr>
      <w:spacing w:after="60"/>
      <w:ind w:left="-2268"/>
    </w:pPr>
    <w:rPr>
      <w:b/>
    </w:rPr>
  </w:style>
  <w:style w:type="paragraph" w:customStyle="1" w:styleId="Heading1TOC">
    <w:name w:val="Heading1 TOC"/>
    <w:basedOn w:val="Normal"/>
    <w:qFormat/>
    <w:rsid w:val="00D649C7"/>
    <w:pPr>
      <w:spacing w:before="240" w:after="120"/>
    </w:pPr>
    <w:rPr>
      <w:rFonts w:ascii="Times New Roman" w:hAnsi="Times New Roman"/>
      <w:b/>
      <w:sz w:val="32"/>
    </w:rPr>
  </w:style>
  <w:style w:type="paragraph" w:customStyle="1" w:styleId="Heading2TOC">
    <w:name w:val="Heading2 TOC"/>
    <w:basedOn w:val="Normal"/>
    <w:qFormat/>
    <w:rsid w:val="00D649C7"/>
    <w:pPr>
      <w:spacing w:before="240" w:after="60"/>
    </w:pPr>
    <w:rPr>
      <w:rFonts w:ascii="Times New Roman" w:hAnsi="Times New Roman"/>
      <w:b/>
      <w:sz w:val="28"/>
    </w:rPr>
  </w:style>
  <w:style w:type="character" w:customStyle="1" w:styleId="Underline">
    <w:name w:val="Underline"/>
    <w:basedOn w:val="DefaultParagraphFont"/>
    <w:qFormat/>
    <w:rsid w:val="00D649C7"/>
    <w:rPr>
      <w:u w:val="single"/>
    </w:rPr>
  </w:style>
  <w:style w:type="character" w:customStyle="1" w:styleId="BoldandItalics">
    <w:name w:val="Bold and Italics"/>
    <w:qFormat/>
    <w:rsid w:val="00D649C7"/>
    <w:rPr>
      <w:b/>
      <w:i/>
      <w:u w:val="none"/>
    </w:rPr>
  </w:style>
  <w:style w:type="paragraph" w:styleId="BalloonText">
    <w:name w:val="Balloon Text"/>
    <w:basedOn w:val="Normal"/>
    <w:link w:val="BalloonTextChar"/>
    <w:rsid w:val="00D649C7"/>
    <w:rPr>
      <w:rFonts w:ascii="Tahoma" w:hAnsi="Tahoma" w:cs="Tahoma"/>
      <w:sz w:val="16"/>
      <w:szCs w:val="16"/>
    </w:rPr>
  </w:style>
  <w:style w:type="character" w:customStyle="1" w:styleId="BalloonTextChar">
    <w:name w:val="Balloon Text Char"/>
    <w:basedOn w:val="DefaultParagraphFont"/>
    <w:link w:val="BalloonText"/>
    <w:rsid w:val="00D64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9C7"/>
    <w:rPr>
      <w:b/>
      <w:color w:val="660033"/>
      <w:spacing w:val="0"/>
    </w:rPr>
  </w:style>
  <w:style w:type="paragraph" w:customStyle="1" w:styleId="Nameditemlist">
    <w:name w:val="Named item list"/>
    <w:basedOn w:val="BodyText"/>
    <w:qFormat/>
    <w:rsid w:val="00D649C7"/>
    <w:pPr>
      <w:tabs>
        <w:tab w:val="left" w:pos="2835"/>
      </w:tabs>
      <w:ind w:left="2835" w:hanging="2835"/>
    </w:pPr>
  </w:style>
  <w:style w:type="paragraph" w:customStyle="1" w:styleId="BodyTextnopadding">
    <w:name w:val="Body Text no padding"/>
    <w:basedOn w:val="BodyText"/>
    <w:qFormat/>
    <w:rsid w:val="00D649C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4508</Characters>
  <Application>Microsoft Office Word</Application>
  <DocSecurity>0</DocSecurity>
  <Lines>219</Lines>
  <Paragraphs>140</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MSFBA2003 Select and apply blinds and awnings hardware and fixings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2018-12-03T08:13:00Z</dcterms:created>
  <dcterms:modified xsi:type="dcterms:W3CDTF">2018-12-03T08:13:00Z</dcterms:modified>
</cp:coreProperties>
</file>