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043" w:rsidP="00A01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MSFAH4004 Prepare architectural door hardware schedules</w:t>
      </w:r>
      <w:r>
        <w:fldChar w:fldCharType="end"/>
      </w:r>
    </w:p>
    <w:p w:rsidR="00A01043" w:rsidP="00A01043">
      <w:pPr>
        <w:pStyle w:val="Version"/>
        <w:sectPr w:rsidSect="005D0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B26" w:rsidP="005D0B26">
      <w:pPr>
        <w:pStyle w:val="SuperHeading"/>
      </w:pPr>
      <w:r w:rsidRPr="005D0B26">
        <w:t>Assessment Requirements for MSFAH4004 Prepare architectural door hardware schedules</w:t>
      </w:r>
    </w:p>
    <w:p w:rsidR="00000000" w:rsidRPr="005D0B26" w:rsidP="005D0B26">
      <w:pPr>
        <w:pStyle w:val="Heading1"/>
      </w:pPr>
      <w:bookmarkStart w:id="1" w:name="O_1007630"/>
      <w:bookmarkEnd w:id="1"/>
      <w:r w:rsidRPr="005D0B26">
        <w:t>Modification History</w:t>
      </w:r>
    </w:p>
    <w:p w:rsidR="00A01043" w:rsidP="00A01043">
      <w:pPr>
        <w:pStyle w:val="BodyText"/>
      </w:pPr>
      <w:r w:rsidRPr="005D0B26">
        <w:t>Release 1. Supersedes and is equivalent to MSFAH4002 Prepare architectural door hardware schedules.</w:t>
      </w:r>
    </w:p>
    <w:p w:rsidR="00000000" w:rsidRPr="005D0B26" w:rsidP="005D0B26">
      <w:pPr>
        <w:pStyle w:val="Heading1"/>
      </w:pPr>
      <w:bookmarkStart w:id="2" w:name="O_1007631"/>
      <w:bookmarkEnd w:id="2"/>
      <w:r w:rsidRPr="005D0B26">
        <w:t>Performance Evidence</w:t>
      </w:r>
    </w:p>
    <w:p w:rsidR="00000000" w:rsidRPr="005D0B26" w:rsidP="00A01043">
      <w:pPr>
        <w:pStyle w:val="BodyText"/>
      </w:pPr>
      <w:r w:rsidRPr="005D0B26">
        <w:t>There must be evidence the candidate has completed the tasks outlined in the elements and performance criteria of this unit, and:</w:t>
      </w:r>
    </w:p>
    <w:p w:rsidR="00A01043" w:rsidP="005D0B26">
      <w:pPr>
        <w:pStyle w:val="ListBullet"/>
      </w:pPr>
      <w:r w:rsidRPr="005D0B26">
        <w:t>matched architectural hardware products and systems to 2 different client briefs or specifications – mus</w:t>
      </w:r>
      <w:r w:rsidRPr="005D0B26">
        <w:t>t include keying schedules.</w:t>
      </w:r>
    </w:p>
    <w:p w:rsidR="00A01043" w:rsidP="005D0B26">
      <w:pPr>
        <w:pStyle w:val="ListBullet"/>
      </w:pPr>
    </w:p>
    <w:p w:rsidR="00000000" w:rsidRPr="005D0B26" w:rsidP="005D0B26">
      <w:pPr>
        <w:pStyle w:val="Heading1"/>
      </w:pPr>
      <w:bookmarkStart w:id="3" w:name="O_1007632"/>
      <w:bookmarkEnd w:id="3"/>
      <w:r w:rsidRPr="005D0B26">
        <w:t>Knowledge Evidence</w:t>
      </w:r>
    </w:p>
    <w:p w:rsidR="00000000" w:rsidRPr="005D0B26" w:rsidP="005D0B26">
      <w:pPr>
        <w:pStyle w:val="ListBullet"/>
      </w:pPr>
      <w:r w:rsidRPr="005D0B26">
        <w:t>legislation, codes and standards that apply to architectural hardware</w:t>
      </w:r>
    </w:p>
    <w:p w:rsidR="00000000" w:rsidRPr="005D0B26" w:rsidP="005D0B26">
      <w:pPr>
        <w:pStyle w:val="ListBullet"/>
      </w:pPr>
      <w:r w:rsidRPr="005D0B26">
        <w:t>risk assessment methods and procedures in the context of architectural hardware</w:t>
      </w:r>
    </w:p>
    <w:p w:rsidR="00000000" w:rsidRPr="005D0B26" w:rsidP="005D0B26">
      <w:pPr>
        <w:pStyle w:val="ListBullet"/>
      </w:pPr>
      <w:r w:rsidRPr="005D0B26">
        <w:t>features and formats of plans, designs</w:t>
      </w:r>
      <w:r w:rsidRPr="005D0B26">
        <w:t xml:space="preserve"> and specifications for architectural hardware</w:t>
      </w:r>
    </w:p>
    <w:p w:rsidR="00000000" w:rsidRPr="005D0B26" w:rsidP="005D0B26">
      <w:pPr>
        <w:pStyle w:val="ListBullet"/>
      </w:pPr>
      <w:r w:rsidRPr="005D0B26">
        <w:t>available architectural hardware and/or keying system options and basic requirements for installation</w:t>
      </w:r>
    </w:p>
    <w:p w:rsidR="00000000" w:rsidRPr="005D0B26" w:rsidP="005D0B26">
      <w:pPr>
        <w:pStyle w:val="ListBullet"/>
      </w:pPr>
      <w:r w:rsidRPr="005D0B26">
        <w:t>types and functions of architectural hardware and/or keying system</w:t>
      </w:r>
    </w:p>
    <w:p w:rsidR="00000000" w:rsidRPr="005D0B26" w:rsidP="005D0B26">
      <w:pPr>
        <w:pStyle w:val="ListBullet"/>
      </w:pPr>
      <w:r w:rsidRPr="005D0B26">
        <w:t>environmental factors that impact produc</w:t>
      </w:r>
      <w:r w:rsidRPr="005D0B26">
        <w:t>t selection</w:t>
      </w:r>
    </w:p>
    <w:p w:rsidR="00000000" w:rsidRPr="005D0B26" w:rsidP="005D0B26">
      <w:pPr>
        <w:pStyle w:val="ListBullet"/>
      </w:pPr>
      <w:r w:rsidRPr="005D0B26">
        <w:t>building construction methods and types that impact on architectural hardware</w:t>
      </w:r>
    </w:p>
    <w:p w:rsidR="00000000" w:rsidRPr="005D0B26" w:rsidP="005D0B26">
      <w:pPr>
        <w:pStyle w:val="ListBullet"/>
      </w:pPr>
      <w:r w:rsidRPr="005D0B26">
        <w:t>types and characteristics of different door and frame types</w:t>
      </w:r>
    </w:p>
    <w:p w:rsidR="00000000" w:rsidRPr="005D0B26" w:rsidP="005D0B26">
      <w:pPr>
        <w:pStyle w:val="ListBullet"/>
      </w:pPr>
      <w:r w:rsidRPr="005D0B26">
        <w:t>organisational and client confidentiality requirements</w:t>
      </w:r>
    </w:p>
    <w:p w:rsidR="00000000" w:rsidRPr="005D0B26" w:rsidP="005D0B26">
      <w:pPr>
        <w:pStyle w:val="ListBullet"/>
      </w:pPr>
      <w:r w:rsidRPr="005D0B26">
        <w:t>type of problems associated with architectural hard</w:t>
      </w:r>
      <w:r w:rsidRPr="005D0B26">
        <w:t>ware systems and how to avoid and respond</w:t>
      </w:r>
    </w:p>
    <w:p w:rsidR="00000000" w:rsidRPr="005D0B26" w:rsidP="005D0B26">
      <w:pPr>
        <w:pStyle w:val="ListBullet"/>
      </w:pPr>
      <w:r w:rsidRPr="005D0B26">
        <w:t>principles of effective communication</w:t>
      </w:r>
    </w:p>
    <w:p w:rsidR="00A01043" w:rsidP="005D0B26">
      <w:pPr>
        <w:pStyle w:val="ListBullet"/>
      </w:pPr>
      <w:r w:rsidRPr="005D0B26">
        <w:t>documentation requirements and processes.</w:t>
      </w:r>
    </w:p>
    <w:p w:rsidR="00A01043" w:rsidP="005D0B26">
      <w:pPr>
        <w:pStyle w:val="ListBullet"/>
      </w:pPr>
    </w:p>
    <w:p w:rsidR="00000000" w:rsidRPr="005D0B26" w:rsidP="005D0B26">
      <w:pPr>
        <w:pStyle w:val="Heading1"/>
      </w:pPr>
      <w:bookmarkStart w:id="4" w:name="O_1007633"/>
      <w:bookmarkEnd w:id="4"/>
      <w:r w:rsidRPr="005D0B26">
        <w:t>Assessment Conditions</w:t>
      </w:r>
    </w:p>
    <w:p w:rsidR="00000000" w:rsidRPr="005D0B26" w:rsidP="00A01043">
      <w:pPr>
        <w:pStyle w:val="BodyText"/>
      </w:pPr>
      <w:r w:rsidRPr="005D0B2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D0B26" w:rsidP="005D0B26">
      <w:pPr>
        <w:pStyle w:val="ListBullet"/>
      </w:pPr>
      <w:r w:rsidRPr="005D0B26">
        <w:t xml:space="preserve">use of suitable facilities, equipment and resources, including: </w:t>
      </w:r>
    </w:p>
    <w:p w:rsidR="00000000" w:rsidRPr="005D0B26" w:rsidP="005D0B26">
      <w:pPr>
        <w:pStyle w:val="ListBullet2"/>
      </w:pPr>
      <w:r w:rsidRPr="005D0B26">
        <w:t>architectural hardware products</w:t>
      </w:r>
    </w:p>
    <w:p w:rsidR="00000000" w:rsidRPr="005D0B26" w:rsidP="005D0B26">
      <w:pPr>
        <w:pStyle w:val="ListBullet2"/>
      </w:pPr>
      <w:r w:rsidRPr="005D0B26">
        <w:t>job specifications and/or requirements</w:t>
      </w:r>
    </w:p>
    <w:p w:rsidR="00000000" w:rsidRPr="005D0B26" w:rsidP="005D0B26">
      <w:pPr>
        <w:pStyle w:val="ListBullet2"/>
      </w:pPr>
      <w:r w:rsidRPr="005D0B26">
        <w:t>legislation, codes and standards.</w:t>
      </w:r>
    </w:p>
    <w:p w:rsidR="00A01043" w:rsidP="00A01043">
      <w:pPr>
        <w:pStyle w:val="BodyText"/>
      </w:pPr>
      <w:r w:rsidRPr="005D0B26">
        <w:t>Assessors must satisfy the NVR/AQTF mandatory competency requirements for assessors.</w:t>
      </w:r>
    </w:p>
    <w:p w:rsidR="00000000" w:rsidRPr="005D0B26" w:rsidP="005D0B26">
      <w:pPr>
        <w:pStyle w:val="Heading1"/>
      </w:pPr>
      <w:bookmarkStart w:id="5" w:name="O_1007636"/>
      <w:bookmarkEnd w:id="5"/>
      <w:r w:rsidRPr="005D0B26">
        <w:t>Links</w:t>
      </w:r>
    </w:p>
    <w:p w:rsidR="00000000" w:rsidRPr="005D0B26" w:rsidP="00A01043">
      <w:pPr>
        <w:pStyle w:val="BodyText"/>
      </w:pPr>
      <w:r w:rsidRPr="005D0B26">
        <w:t>Companion Volume implementation guides a</w:t>
      </w:r>
      <w:r w:rsidRPr="005D0B26">
        <w:t xml:space="preserve">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3B1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D0B26" w:rsidP="005D0B26"/>
    <w:sectPr w:rsidSect="005D0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6" w:rsidRPr="00A01043" w:rsidP="00A01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43" w:rsidP="005D0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043" w:rsidP="005D0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1043" w:rsidP="005D0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B26" w:rsidRPr="00A01043" w:rsidP="00A01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43" w:rsidRPr="002D2AF8" w:rsidP="005D0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MSFAH4004 Prepare architectural door hardware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01043" w:rsidP="005D0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8D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B04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606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B26"/>
  </w:style>
  <w:style w:type="character" w:customStyle="1" w:styleId="Heading1Char">
    <w:name w:val="Heading 1 Char"/>
    <w:basedOn w:val="DefaultParagraphFont"/>
    <w:link w:val="Heading1"/>
    <w:rsid w:val="005D0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B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0B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0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0B26"/>
    <w:rPr>
      <w:b/>
      <w:spacing w:val="0"/>
    </w:rPr>
  </w:style>
  <w:style w:type="paragraph" w:customStyle="1" w:styleId="SuperTitle">
    <w:name w:val="SuperTitle"/>
    <w:basedOn w:val="Title"/>
    <w:rsid w:val="005D0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B26"/>
    <w:rPr>
      <w:i/>
    </w:rPr>
  </w:style>
  <w:style w:type="paragraph" w:styleId="Caption">
    <w:name w:val="caption"/>
    <w:basedOn w:val="BodyText"/>
    <w:next w:val="Normal"/>
    <w:qFormat/>
    <w:rsid w:val="005D0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B26"/>
  </w:style>
  <w:style w:type="paragraph" w:styleId="TableofFigures">
    <w:name w:val="table of figures"/>
    <w:basedOn w:val="Normal"/>
    <w:next w:val="Normal"/>
    <w:semiHidden/>
    <w:rsid w:val="005D0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B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B26"/>
    <w:rPr>
      <w:rFonts w:ascii="Wingdings" w:hAnsi="Wingdings"/>
    </w:rPr>
  </w:style>
  <w:style w:type="paragraph" w:customStyle="1" w:styleId="TableHeading">
    <w:name w:val="Table Heading"/>
    <w:basedOn w:val="HeadingBase"/>
    <w:rsid w:val="005D0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B26"/>
    <w:rPr>
      <w:color w:val="0033CC"/>
      <w:u w:val="none"/>
    </w:rPr>
  </w:style>
  <w:style w:type="paragraph" w:customStyle="1" w:styleId="BodyTextRight">
    <w:name w:val="Body Text Right"/>
    <w:basedOn w:val="BodyText"/>
    <w:rsid w:val="005D0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B26"/>
    <w:rPr>
      <w:sz w:val="32"/>
    </w:rPr>
  </w:style>
  <w:style w:type="paragraph" w:customStyle="1" w:styleId="HeadingProcedure">
    <w:name w:val="Heading Procedure"/>
    <w:basedOn w:val="HeadingBase"/>
    <w:next w:val="Normal"/>
    <w:rsid w:val="005D0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B26"/>
    <w:pPr>
      <w:spacing w:before="60" w:after="60"/>
    </w:pPr>
  </w:style>
  <w:style w:type="paragraph" w:styleId="ListContinue">
    <w:name w:val="List Continue"/>
    <w:basedOn w:val="List"/>
    <w:rsid w:val="005D0B26"/>
    <w:pPr>
      <w:ind w:firstLine="0"/>
    </w:pPr>
  </w:style>
  <w:style w:type="paragraph" w:customStyle="1" w:styleId="ListNote">
    <w:name w:val="List Note"/>
    <w:basedOn w:val="List"/>
    <w:rsid w:val="005D0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B26"/>
    <w:rPr>
      <w:rFonts w:ascii="Courier New" w:hAnsi="Courier New"/>
    </w:rPr>
  </w:style>
  <w:style w:type="paragraph" w:customStyle="1" w:styleId="NoteBullet">
    <w:name w:val="Note Bullet"/>
    <w:basedOn w:val="Note"/>
    <w:rsid w:val="005D0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B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B26"/>
    <w:rPr>
      <w:b/>
      <w:smallCaps/>
    </w:rPr>
  </w:style>
  <w:style w:type="paragraph" w:customStyle="1" w:styleId="TableListNumber">
    <w:name w:val="Table List Number"/>
    <w:basedOn w:val="ListNumber"/>
    <w:rsid w:val="005D0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B26"/>
    <w:pPr>
      <w:numPr>
        <w:numId w:val="9"/>
      </w:numPr>
    </w:pPr>
  </w:style>
  <w:style w:type="paragraph" w:customStyle="1" w:styleId="ListAlpha2">
    <w:name w:val="List Alpha 2"/>
    <w:basedOn w:val="List2"/>
    <w:rsid w:val="005D0B26"/>
    <w:pPr>
      <w:numPr>
        <w:numId w:val="8"/>
      </w:numPr>
    </w:pPr>
  </w:style>
  <w:style w:type="paragraph" w:styleId="List2">
    <w:name w:val="List 2"/>
    <w:basedOn w:val="BodyText"/>
    <w:rsid w:val="005D0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B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B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B26"/>
    <w:pPr>
      <w:numPr>
        <w:numId w:val="4"/>
      </w:numPr>
    </w:pPr>
  </w:style>
  <w:style w:type="paragraph" w:styleId="ListContinue2">
    <w:name w:val="List Continue 2"/>
    <w:basedOn w:val="List2"/>
    <w:rsid w:val="005D0B26"/>
    <w:pPr>
      <w:ind w:firstLine="0"/>
    </w:pPr>
  </w:style>
  <w:style w:type="paragraph" w:styleId="ListContinue3">
    <w:name w:val="List Continue 3"/>
    <w:basedOn w:val="List3"/>
    <w:rsid w:val="005D0B26"/>
    <w:pPr>
      <w:ind w:left="1021" w:firstLine="0"/>
    </w:pPr>
  </w:style>
  <w:style w:type="paragraph" w:styleId="ListContinue4">
    <w:name w:val="List Continue 4"/>
    <w:basedOn w:val="List4"/>
    <w:rsid w:val="005D0B26"/>
    <w:pPr>
      <w:ind w:firstLine="0"/>
    </w:pPr>
  </w:style>
  <w:style w:type="paragraph" w:styleId="ListContinue5">
    <w:name w:val="List Continue 5"/>
    <w:basedOn w:val="List5"/>
    <w:rsid w:val="005D0B26"/>
    <w:pPr>
      <w:ind w:firstLine="0"/>
    </w:pPr>
  </w:style>
  <w:style w:type="paragraph" w:styleId="ListNumber3">
    <w:name w:val="List Number 3"/>
    <w:basedOn w:val="List3"/>
    <w:rsid w:val="005D0B26"/>
    <w:pPr>
      <w:numPr>
        <w:numId w:val="5"/>
      </w:numPr>
    </w:pPr>
  </w:style>
  <w:style w:type="paragraph" w:styleId="ListNumber4">
    <w:name w:val="List Number 4"/>
    <w:basedOn w:val="List4"/>
    <w:rsid w:val="005D0B26"/>
    <w:pPr>
      <w:numPr>
        <w:numId w:val="6"/>
      </w:numPr>
    </w:pPr>
  </w:style>
  <w:style w:type="paragraph" w:styleId="ListNumber5">
    <w:name w:val="List Number 5"/>
    <w:basedOn w:val="List5"/>
    <w:rsid w:val="005D0B26"/>
    <w:pPr>
      <w:numPr>
        <w:numId w:val="7"/>
      </w:numPr>
    </w:pPr>
  </w:style>
  <w:style w:type="paragraph" w:styleId="BlockText">
    <w:name w:val="Block Text"/>
    <w:basedOn w:val="Normal"/>
    <w:rsid w:val="005D0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B26"/>
    <w:rPr>
      <w:sz w:val="16"/>
      <w:vertAlign w:val="superscript"/>
    </w:rPr>
  </w:style>
  <w:style w:type="character" w:customStyle="1" w:styleId="Symbols">
    <w:name w:val="Symbols"/>
    <w:basedOn w:val="DefaultParagraphFont"/>
    <w:rsid w:val="005D0B26"/>
    <w:rPr>
      <w:rFonts w:ascii="Symbol" w:hAnsi="Symbol"/>
    </w:rPr>
  </w:style>
  <w:style w:type="character" w:customStyle="1" w:styleId="MenuOptions">
    <w:name w:val="Menu Options"/>
    <w:basedOn w:val="DefaultParagraphFont"/>
    <w:rsid w:val="005D0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B26"/>
    <w:rPr>
      <w:b/>
    </w:rPr>
  </w:style>
  <w:style w:type="character" w:customStyle="1" w:styleId="Underlined">
    <w:name w:val="Underlined"/>
    <w:basedOn w:val="DefaultParagraphFont"/>
    <w:rsid w:val="005D0B26"/>
    <w:rPr>
      <w:u w:val="single"/>
    </w:rPr>
  </w:style>
  <w:style w:type="paragraph" w:customStyle="1" w:styleId="TableBodyTextRight">
    <w:name w:val="Table Body Text Right"/>
    <w:basedOn w:val="TableBodyText"/>
    <w:rsid w:val="005D0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B26"/>
    <w:rPr>
      <w:sz w:val="18"/>
    </w:rPr>
  </w:style>
  <w:style w:type="paragraph" w:customStyle="1" w:styleId="BodySmallRight">
    <w:name w:val="Body Small Right"/>
    <w:basedOn w:val="BodyTextRight"/>
    <w:rsid w:val="005D0B26"/>
    <w:rPr>
      <w:sz w:val="18"/>
      <w:szCs w:val="18"/>
    </w:rPr>
  </w:style>
  <w:style w:type="paragraph" w:customStyle="1" w:styleId="MarginEdition">
    <w:name w:val="Margin Edition"/>
    <w:basedOn w:val="MarginNote"/>
    <w:rsid w:val="005D0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B26"/>
    <w:rPr>
      <w:sz w:val="2"/>
      <w:szCs w:val="2"/>
    </w:rPr>
  </w:style>
  <w:style w:type="character" w:customStyle="1" w:styleId="Small">
    <w:name w:val="Small"/>
    <w:basedOn w:val="DefaultParagraphFont"/>
    <w:rsid w:val="005D0B26"/>
    <w:rPr>
      <w:sz w:val="16"/>
    </w:rPr>
  </w:style>
  <w:style w:type="paragraph" w:customStyle="1" w:styleId="WideTable">
    <w:name w:val="Wide Table"/>
    <w:basedOn w:val="Normal"/>
    <w:rsid w:val="005D0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B26"/>
  </w:style>
  <w:style w:type="paragraph" w:styleId="Quote">
    <w:name w:val="Quote"/>
    <w:basedOn w:val="Heading1"/>
    <w:link w:val="QuoteChar"/>
    <w:qFormat/>
    <w:rsid w:val="005D0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B26"/>
    <w:pPr>
      <w:pageBreakBefore/>
    </w:pPr>
  </w:style>
  <w:style w:type="paragraph" w:customStyle="1" w:styleId="Border">
    <w:name w:val="Border"/>
    <w:basedOn w:val="Normal"/>
    <w:qFormat/>
    <w:rsid w:val="005D0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B26"/>
    <w:rPr>
      <w:u w:val="single"/>
    </w:rPr>
  </w:style>
  <w:style w:type="character" w:customStyle="1" w:styleId="BoldandItalics">
    <w:name w:val="Bold and Italics"/>
    <w:qFormat/>
    <w:rsid w:val="005D0B26"/>
    <w:rPr>
      <w:b/>
      <w:i/>
      <w:u w:val="none"/>
    </w:rPr>
  </w:style>
  <w:style w:type="paragraph" w:styleId="BalloonText">
    <w:name w:val="Balloon Text"/>
    <w:basedOn w:val="Normal"/>
    <w:link w:val="BalloonTextChar"/>
    <w:rsid w:val="005D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B26"/>
    <w:pPr>
      <w:spacing w:before="0" w:after="0"/>
    </w:pPr>
  </w:style>
  <w:style w:type="paragraph" w:customStyle="1" w:styleId="BodyTextBold">
    <w:name w:val="Body Text Bold"/>
    <w:basedOn w:val="BodyText"/>
    <w:qFormat/>
    <w:rsid w:val="005D0B26"/>
    <w:rPr>
      <w:b/>
    </w:rPr>
  </w:style>
  <w:style w:type="character" w:styleId="Hyperlink">
    <w:name w:val="Hyperlink"/>
    <w:basedOn w:val="DefaultParagraphFont"/>
    <w:uiPriority w:val="99"/>
    <w:unhideWhenUsed/>
    <w:rsid w:val="00A01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1945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MSFAH4004 Prepare architectural door hardware schedules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2022-12-08T01:01:00Z</dcterms:created>
  <dcterms:modified xsi:type="dcterms:W3CDTF">2022-12-08T01:01:00Z</dcterms:modified>
</cp:coreProperties>
</file>