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BD4" w:rsidP="00E44BD4">
      <w:pPr>
        <w:pStyle w:val="Title"/>
      </w:pPr>
      <w:r>
        <w:fldChar w:fldCharType="begin"/>
      </w:r>
      <w:r>
        <w:instrText xml:space="preserve"> TITLE   \* MERGEFORMAT </w:instrText>
      </w:r>
      <w:r>
        <w:fldChar w:fldCharType="separate"/>
      </w:r>
      <w:r>
        <w:t>MSF50113 Diploma of Stained Glass and Leadlighting</w:t>
      </w:r>
      <w:r>
        <w:fldChar w:fldCharType="end"/>
      </w:r>
    </w:p>
    <w:p w:rsidR="00E44BD4" w:rsidP="00E44BD4">
      <w:pPr>
        <w:pStyle w:val="Version"/>
        <w:sectPr w:rsidSect="00500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0CEE" w:rsidP="00500CEE">
      <w:pPr>
        <w:pStyle w:val="SuperHeading"/>
      </w:pPr>
      <w:r w:rsidRPr="00500CEE">
        <w:t>MSF50113 Diploma of Stained Glass and Leadlighting</w:t>
      </w:r>
    </w:p>
    <w:p w:rsidR="00000000" w:rsidRPr="00500CEE" w:rsidP="00500CEE">
      <w:pPr>
        <w:pStyle w:val="Heading1"/>
      </w:pPr>
      <w:bookmarkStart w:id="1" w:name="O_918091"/>
      <w:bookmarkEnd w:id="1"/>
      <w:r w:rsidRPr="00500CEE">
        <w:t>Modification History</w:t>
      </w:r>
    </w:p>
    <w:p w:rsidR="00000000" w:rsidRPr="00500CEE" w:rsidP="00E44BD4">
      <w:pPr>
        <w:pStyle w:val="List"/>
      </w:pPr>
      <w:r w:rsidRPr="00500CEE">
        <w:t>Release 2 - Imported units updated.  Equivalent.</w:t>
      </w:r>
    </w:p>
    <w:p w:rsidR="00000000" w:rsidRPr="00500CEE" w:rsidP="00E44BD4">
      <w:pPr>
        <w:pStyle w:val="List"/>
      </w:pPr>
      <w:r w:rsidRPr="00500CEE">
        <w:t>Release 1 - New qualification</w:t>
      </w:r>
    </w:p>
    <w:p w:rsidR="00000000" w:rsidRPr="00500CEE" w:rsidP="00500CEE">
      <w:pPr>
        <w:pStyle w:val="AllowPageBreak"/>
      </w:pPr>
    </w:p>
    <w:p w:rsidR="00000000" w:rsidRPr="00500CEE" w:rsidP="00500CEE">
      <w:pPr>
        <w:pStyle w:val="Heading1"/>
      </w:pPr>
      <w:bookmarkStart w:id="2" w:name="O_918090"/>
      <w:bookmarkEnd w:id="2"/>
      <w:r w:rsidRPr="00500CEE">
        <w:t>Qualification Description</w:t>
      </w:r>
    </w:p>
    <w:p w:rsidR="00000000" w:rsidRPr="00500CEE" w:rsidP="00E44BD4">
      <w:pPr>
        <w:pStyle w:val="BodyText"/>
      </w:pPr>
      <w:r w:rsidRPr="00500CEE">
        <w:t>This qualification describes the skills and knowledge required to perform advanced design manufacture, re</w:t>
      </w:r>
      <w:r w:rsidRPr="00500CEE">
        <w:t>pair and installation of stained glass and leadlighting, including heritage conservation. It reflects vocational outcomes for those performing design and manufacture of stained glass and leadlighting job roles, including heritage conservation. Work involve</w:t>
      </w:r>
      <w:r w:rsidRPr="00500CEE">
        <w:t>s self-directed application of knowledge and skills, with substantial depth in some areas where judgement is required in planning and selecting appropriate equipment, services and techniques for self and others.</w:t>
      </w:r>
    </w:p>
    <w:p w:rsidR="00000000" w:rsidRPr="00500CEE" w:rsidP="00E44BD4">
      <w:pPr>
        <w:pStyle w:val="BodyText"/>
      </w:pPr>
      <w:r w:rsidRPr="00500CEE">
        <w:t xml:space="preserve">There are no specific licences that relate </w:t>
      </w:r>
      <w:r w:rsidRPr="00500CEE">
        <w:t>to this qualification. However, depending on the jurisdiction, licensing or regulatory requirements may apply to the use of some units in this qualification. Local regulations should be checked for details.</w:t>
      </w:r>
    </w:p>
    <w:p w:rsidR="00000000" w:rsidRPr="00500CEE" w:rsidP="00500CEE">
      <w:pPr>
        <w:pStyle w:val="Heading1"/>
      </w:pPr>
      <w:bookmarkStart w:id="3" w:name="O_918089"/>
      <w:bookmarkEnd w:id="3"/>
      <w:r w:rsidRPr="00500CEE">
        <w:t>Entry Requirements</w:t>
      </w:r>
    </w:p>
    <w:p w:rsidR="00000000" w:rsidRPr="00500CEE" w:rsidP="00E44BD4">
      <w:pPr>
        <w:pStyle w:val="BodyText"/>
      </w:pPr>
      <w:r w:rsidRPr="00500CEE">
        <w:t>Not applicabl</w:t>
      </w:r>
      <w:r w:rsidRPr="00500CEE">
        <w:t>e</w:t>
      </w:r>
    </w:p>
    <w:p w:rsidR="00000000" w:rsidRPr="00500CEE" w:rsidP="00500CEE">
      <w:pPr>
        <w:pStyle w:val="Heading1"/>
      </w:pPr>
      <w:bookmarkStart w:id="4" w:name="O_918088"/>
      <w:bookmarkEnd w:id="4"/>
      <w:r w:rsidRPr="00500CEE">
        <w:t>Packaging Rules</w:t>
      </w:r>
    </w:p>
    <w:p w:rsidR="00000000" w:rsidRPr="00500CEE" w:rsidP="00E44BD4">
      <w:pPr>
        <w:pStyle w:val="BodyText"/>
      </w:pPr>
      <w:r w:rsidRPr="00500CEE">
        <w:t xml:space="preserve">To be awarded the MSF50113 Diploma of Stained Glass and Leadlighting, competency must be achieved in </w:t>
      </w:r>
      <w:r w:rsidRPr="00500CEE">
        <w:rPr>
          <w:rStyle w:val="SpecialBold"/>
        </w:rPr>
        <w:t>twenty-three (23)</w:t>
      </w:r>
      <w:r w:rsidRPr="00500CEE">
        <w:t xml:space="preserve"> units of competency. </w:t>
      </w:r>
    </w:p>
    <w:p w:rsidR="00000000" w:rsidRPr="00500CEE" w:rsidP="00500CEE">
      <w:pPr>
        <w:pStyle w:val="ListBullet"/>
      </w:pPr>
      <w:r w:rsidRPr="00500CEE">
        <w:rPr>
          <w:rStyle w:val="SpecialBold"/>
        </w:rPr>
        <w:t>nine (9)</w:t>
      </w:r>
      <w:r w:rsidRPr="00500CEE">
        <w:t xml:space="preserve"> core units of competency</w:t>
      </w:r>
    </w:p>
    <w:p w:rsidR="00000000" w:rsidRPr="00500CEE" w:rsidP="00500CEE">
      <w:pPr>
        <w:pStyle w:val="ListBullet"/>
      </w:pPr>
      <w:r w:rsidRPr="00500CEE">
        <w:rPr>
          <w:rStyle w:val="SpecialBold"/>
        </w:rPr>
        <w:t xml:space="preserve">fourteen (14) </w:t>
      </w:r>
      <w:r w:rsidRPr="00500CEE">
        <w:t>elective units of competency.</w:t>
      </w:r>
    </w:p>
    <w:p w:rsidR="00000000" w:rsidRPr="00500CEE" w:rsidP="00500CEE">
      <w:pPr>
        <w:pStyle w:val="BodyText"/>
      </w:pPr>
    </w:p>
    <w:p w:rsidR="00000000" w:rsidRPr="00500CEE" w:rsidP="00E44BD4">
      <w:pPr>
        <w:pStyle w:val="BodyText"/>
      </w:pPr>
      <w:r w:rsidRPr="00500CEE">
        <w:t>Note: Units marked with an asterisk have one or more prerequisites and must be considered in the total number of units. Please refer to individual units for details.</w:t>
      </w:r>
    </w:p>
    <w:p w:rsidR="00000000" w:rsidRPr="00500CEE" w:rsidP="00E44BD4">
      <w:pPr>
        <w:pStyle w:val="Heading3"/>
      </w:pPr>
      <w:r w:rsidRPr="00500CEE">
        <w:rPr>
          <w:rStyle w:val="SpecialBold"/>
        </w:rPr>
        <w:t>CORE UNITS</w:t>
      </w:r>
    </w:p>
    <w:p w:rsidR="00000000" w:rsidRPr="00500CEE" w:rsidP="00E44BD4">
      <w:pPr>
        <w:pStyle w:val="BodyText"/>
      </w:pPr>
      <w:r w:rsidRPr="00500CEE">
        <w:t xml:space="preserve">Complete all </w:t>
      </w:r>
      <w:r w:rsidRPr="00500CEE">
        <w:rPr>
          <w:rStyle w:val="SpecialBold"/>
        </w:rPr>
        <w:t>eleven (11)</w:t>
      </w:r>
      <w:r w:rsidRPr="00500CEE">
        <w:t xml:space="preserve"> units from this list.</w:t>
      </w:r>
    </w:p>
    <w:tbl>
      <w:tblPr>
        <w:tblW w:w="9270" w:type="dxa"/>
        <w:tblLayout w:type="fixed"/>
        <w:tblCellMar>
          <w:left w:w="62" w:type="dxa"/>
          <w:right w:w="62" w:type="dxa"/>
        </w:tblCellMar>
        <w:tblLook w:val="0000"/>
      </w:tblPr>
      <w:tblGrid>
        <w:gridCol w:w="2201"/>
        <w:gridCol w:w="7069"/>
      </w:tblGrid>
      <w:tr w:rsidTr="00500CEE">
        <w:tblPrEx>
          <w:tblW w:w="9270" w:type="dxa"/>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rPr>
                <w:rStyle w:val="SpecialBold"/>
              </w:rPr>
              <w:t>Unit code</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rPr>
                <w:rStyle w:val="SpecialBold"/>
              </w:rPr>
              <w:t>Unit title</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HLTAID003</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Apply first aid</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MEM05003B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Perform soft soldering</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MSMENV272</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Participate in environmentally sustainable work practices </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MSFGG2001</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Use glass and glazing sector hand and power tools</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MSFGG3001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Store and handle glass </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MSFGG3014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Construct and repair leadlight panels</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MSFGG4001</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Apply standards and codes of practice for the glass industry</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MSFSL2001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Assemble leadlight and stained glass components</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MSFSL3002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Protect stained glass and leadlighting</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MSFSL3003 </w:t>
            </w:r>
          </w:p>
        </w:tc>
        <w:tc>
          <w:tcPr>
            <w:tcW w:w="706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Fabricate and install r</w:t>
            </w:r>
            <w:r w:rsidRPr="00500CEE">
              <w:t>esidential leadlight and stained glass windows and doors</w:t>
            </w:r>
          </w:p>
        </w:tc>
      </w:tr>
      <w:tr w:rsidTr="00500CEE">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MSFSL3004 </w:t>
            </w:r>
          </w:p>
        </w:tc>
        <w:tc>
          <w:tcPr>
            <w:tcW w:w="7069"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t xml:space="preserve">Prepare and install architectural engineered leadlight and stained glass </w:t>
            </w:r>
          </w:p>
        </w:tc>
      </w:tr>
    </w:tbl>
    <w:p w:rsidR="00000000" w:rsidRPr="00500CEE" w:rsidP="00500CEE">
      <w:pPr>
        <w:pStyle w:val="BodyText"/>
      </w:pPr>
    </w:p>
    <w:p w:rsidR="00000000" w:rsidRPr="00500CEE" w:rsidP="00E44BD4">
      <w:pPr>
        <w:pStyle w:val="Heading3"/>
      </w:pPr>
      <w:r w:rsidRPr="00500CEE">
        <w:rPr>
          <w:rStyle w:val="SpecialBold"/>
        </w:rPr>
        <w:t xml:space="preserve">ELECTIVE UNITS </w:t>
      </w:r>
    </w:p>
    <w:p w:rsidR="00000000" w:rsidRPr="00500CEE" w:rsidP="00E44BD4">
      <w:pPr>
        <w:pStyle w:val="BodyText"/>
      </w:pPr>
      <w:r w:rsidRPr="00500CEE">
        <w:t xml:space="preserve">Select </w:t>
      </w:r>
      <w:r w:rsidRPr="00500CEE">
        <w:rPr>
          <w:rStyle w:val="SpecialBold"/>
        </w:rPr>
        <w:t>fourteen (14)</w:t>
      </w:r>
      <w:r w:rsidRPr="00500CEE">
        <w:t xml:space="preserve"> units from Groups A, B, C and D as specified below. </w:t>
      </w:r>
    </w:p>
    <w:p w:rsidR="00000000" w:rsidRPr="00500CEE" w:rsidP="00E44BD4">
      <w:pPr>
        <w:pStyle w:val="Heading4"/>
      </w:pPr>
      <w:r w:rsidRPr="00500CEE">
        <w:rPr>
          <w:rStyle w:val="SpecialBold"/>
        </w:rPr>
        <w:t>Group A</w:t>
      </w:r>
    </w:p>
    <w:p w:rsidR="00000000" w:rsidRPr="00500CEE" w:rsidP="00E44BD4">
      <w:pPr>
        <w:pStyle w:val="BodyText"/>
      </w:pPr>
      <w:r w:rsidRPr="00500CEE">
        <w:t xml:space="preserve">At least </w:t>
      </w:r>
      <w:r w:rsidRPr="00500CEE">
        <w:rPr>
          <w:rStyle w:val="SpecialBold"/>
        </w:rPr>
        <w:t>one (1)</w:t>
      </w:r>
      <w:r w:rsidRPr="00500CEE">
        <w:t xml:space="preserve"> unit must be selected from Group A.</w:t>
      </w:r>
    </w:p>
    <w:tbl>
      <w:tblPr>
        <w:tblW w:w="9270" w:type="dxa"/>
        <w:tblLayout w:type="fixed"/>
        <w:tblCellMar>
          <w:left w:w="62" w:type="dxa"/>
          <w:right w:w="62" w:type="dxa"/>
        </w:tblCellMar>
        <w:tblLook w:val="0000"/>
      </w:tblPr>
      <w:tblGrid>
        <w:gridCol w:w="2067"/>
        <w:gridCol w:w="7203"/>
      </w:tblGrid>
      <w:tr w:rsidTr="00500CEE">
        <w:tblPrEx>
          <w:tblW w:w="9270" w:type="dxa"/>
          <w:tblLayout w:type="fixed"/>
          <w:tblCellMar>
            <w:left w:w="62" w:type="dxa"/>
            <w:right w:w="62" w:type="dxa"/>
          </w:tblCellMar>
          <w:tblLook w:val="0000"/>
        </w:tblPrEx>
        <w:trPr>
          <w:tblHeader/>
        </w:trPr>
        <w:tc>
          <w:tcPr>
            <w:tcW w:w="2067"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rPr>
                <w:rStyle w:val="SpecialBold"/>
              </w:rPr>
              <w:t>Unit code</w:t>
            </w:r>
          </w:p>
        </w:tc>
        <w:tc>
          <w:tcPr>
            <w:tcW w:w="7203"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rPr>
                <w:rStyle w:val="SpecialBold"/>
              </w:rPr>
              <w:t>Unit title</w:t>
            </w:r>
          </w:p>
        </w:tc>
      </w:tr>
      <w:tr w:rsidTr="00500CEE">
        <w:tblPrEx>
          <w:tblW w:w="9270" w:type="dxa"/>
          <w:tblLayout w:type="fixed"/>
          <w:tblCellMar>
            <w:left w:w="62" w:type="dxa"/>
            <w:right w:w="62" w:type="dxa"/>
          </w:tblCellMar>
          <w:tblLook w:val="0000"/>
        </w:tblPrEx>
        <w:tc>
          <w:tcPr>
            <w:tcW w:w="2067"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MSFSL5001</w:t>
            </w:r>
          </w:p>
        </w:tc>
        <w:tc>
          <w:tcPr>
            <w:tcW w:w="7203"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Assess conservation requirements</w:t>
            </w:r>
          </w:p>
        </w:tc>
      </w:tr>
      <w:tr w:rsidTr="00500CEE">
        <w:tblPrEx>
          <w:tblW w:w="9270" w:type="dxa"/>
          <w:tblLayout w:type="fixed"/>
          <w:tblCellMar>
            <w:left w:w="62" w:type="dxa"/>
            <w:right w:w="62" w:type="dxa"/>
          </w:tblCellMar>
          <w:tblLook w:val="0000"/>
        </w:tblPrEx>
        <w:tc>
          <w:tcPr>
            <w:tcW w:w="2067"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MSFSL5002</w:t>
            </w:r>
          </w:p>
        </w:tc>
        <w:tc>
          <w:tcPr>
            <w:tcW w:w="7203"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Remove heritage leadlight and stained glass</w:t>
            </w:r>
          </w:p>
        </w:tc>
      </w:tr>
      <w:tr w:rsidTr="00500CEE">
        <w:tblPrEx>
          <w:tblW w:w="9270" w:type="dxa"/>
          <w:tblLayout w:type="fixed"/>
          <w:tblCellMar>
            <w:left w:w="62" w:type="dxa"/>
            <w:right w:w="62" w:type="dxa"/>
          </w:tblCellMar>
          <w:tblLook w:val="0000"/>
        </w:tblPrEx>
        <w:tc>
          <w:tcPr>
            <w:tcW w:w="2067"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MSFSL5003</w:t>
            </w:r>
          </w:p>
        </w:tc>
        <w:tc>
          <w:tcPr>
            <w:tcW w:w="7203"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Conserve heritage leadlight and stained glass</w:t>
            </w:r>
          </w:p>
        </w:tc>
      </w:tr>
      <w:tr w:rsidTr="00500CEE">
        <w:tblPrEx>
          <w:tblW w:w="9270" w:type="dxa"/>
          <w:tblLayout w:type="fixed"/>
          <w:tblCellMar>
            <w:left w:w="62" w:type="dxa"/>
            <w:right w:w="62" w:type="dxa"/>
          </w:tblCellMar>
          <w:tblLook w:val="0000"/>
        </w:tblPrEx>
        <w:tc>
          <w:tcPr>
            <w:tcW w:w="2067"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MSFSL5004</w:t>
            </w:r>
          </w:p>
        </w:tc>
        <w:tc>
          <w:tcPr>
            <w:tcW w:w="7203"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Install heritage leadlight and stained glass</w:t>
            </w:r>
          </w:p>
        </w:tc>
      </w:tr>
      <w:tr w:rsidTr="00500CEE">
        <w:tblPrEx>
          <w:tblW w:w="9270" w:type="dxa"/>
          <w:tblLayout w:type="fixed"/>
          <w:tblCellMar>
            <w:left w:w="62" w:type="dxa"/>
            <w:right w:w="62" w:type="dxa"/>
          </w:tblCellMar>
          <w:tblLook w:val="0000"/>
        </w:tblPrEx>
        <w:tc>
          <w:tcPr>
            <w:tcW w:w="2067"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MSFSL5005</w:t>
            </w:r>
          </w:p>
        </w:tc>
        <w:tc>
          <w:tcPr>
            <w:tcW w:w="7203"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t xml:space="preserve">Apply innovation in contemporary leadlight and stained glass </w:t>
            </w:r>
          </w:p>
        </w:tc>
      </w:tr>
    </w:tbl>
    <w:p w:rsidR="00000000" w:rsidRPr="00500CEE" w:rsidP="00500CEE">
      <w:pPr>
        <w:pStyle w:val="BodyText"/>
      </w:pPr>
    </w:p>
    <w:p w:rsidR="00000000" w:rsidRPr="00500CEE" w:rsidP="00E44BD4">
      <w:pPr>
        <w:pStyle w:val="Heading4"/>
      </w:pPr>
      <w:r w:rsidRPr="00500CEE">
        <w:rPr>
          <w:rStyle w:val="SpecialBold"/>
        </w:rPr>
        <w:t>Group B</w:t>
      </w:r>
    </w:p>
    <w:p w:rsidR="00000000" w:rsidRPr="00500CEE" w:rsidP="00E44BD4">
      <w:pPr>
        <w:pStyle w:val="BodyText"/>
      </w:pPr>
      <w:r w:rsidRPr="00500CEE">
        <w:t>At least</w:t>
      </w:r>
      <w:r w:rsidRPr="00500CEE">
        <w:rPr>
          <w:rStyle w:val="SpecialBold"/>
        </w:rPr>
        <w:t xml:space="preserve"> four (4)</w:t>
      </w:r>
      <w:r w:rsidRPr="00500CEE">
        <w:t xml:space="preserve"> units must be selected from Group B.</w:t>
      </w:r>
    </w:p>
    <w:tbl>
      <w:tblPr>
        <w:tblW w:w="9270" w:type="dxa"/>
        <w:tblLayout w:type="fixed"/>
        <w:tblCellMar>
          <w:left w:w="62" w:type="dxa"/>
          <w:right w:w="62" w:type="dxa"/>
        </w:tblCellMar>
        <w:tblLook w:val="0000"/>
      </w:tblPr>
      <w:tblGrid>
        <w:gridCol w:w="2071"/>
        <w:gridCol w:w="7199"/>
      </w:tblGrid>
      <w:tr w:rsidTr="00500CEE">
        <w:tblPrEx>
          <w:tblW w:w="9270" w:type="dxa"/>
          <w:tblLayout w:type="fixed"/>
          <w:tblCellMar>
            <w:left w:w="62" w:type="dxa"/>
            <w:right w:w="62" w:type="dxa"/>
          </w:tblCellMar>
          <w:tblLook w:val="0000"/>
        </w:tblPrEx>
        <w:trPr>
          <w:tblHeader/>
        </w:trPr>
        <w:tc>
          <w:tcPr>
            <w:tcW w:w="2071"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rPr>
                <w:rStyle w:val="SpecialBold"/>
              </w:rPr>
              <w:t>Unit code</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rPr>
                <w:rStyle w:val="SpecialBold"/>
              </w:rPr>
              <w:t>Unit title</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CULMS010B </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Contribute to the preservation of cultu</w:t>
            </w:r>
            <w:r w:rsidRPr="00500CEE">
              <w:t>ral material</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CUAACD301</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Produce drawings to communicate ideas</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CUACAL401</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Experiment with techniques to produce calligraphy</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CUADES403</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Research and apply techniques in spatial design</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CUAGRD401</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Research and apply graphic design techniques </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CUVICS04B</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Originate and develop a concept</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CUAPPR405</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Develop and discuss ideas for own creative work</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MSFDN4001</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Produce drawings from design concepts</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MSFDN4002</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Produce line and component production drawings</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MSFDN4003</w:t>
            </w:r>
          </w:p>
        </w:tc>
        <w:tc>
          <w:tcPr>
            <w:tcW w:w="71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Produce patterns and templates</w:t>
            </w:r>
          </w:p>
        </w:tc>
      </w:tr>
      <w:tr w:rsidTr="00500CEE">
        <w:tblPrEx>
          <w:tblW w:w="9270" w:type="dxa"/>
          <w:tblLayout w:type="fixed"/>
          <w:tblCellMar>
            <w:left w:w="62" w:type="dxa"/>
            <w:right w:w="62" w:type="dxa"/>
          </w:tblCellMar>
          <w:tblLook w:val="0000"/>
        </w:tblPrEx>
        <w:tc>
          <w:tcPr>
            <w:tcW w:w="207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MSFDN5001</w:t>
            </w:r>
          </w:p>
        </w:tc>
        <w:tc>
          <w:tcPr>
            <w:tcW w:w="7199"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t>Generate and transfer complex computer-aided drawings and specifications</w:t>
            </w:r>
          </w:p>
        </w:tc>
      </w:tr>
    </w:tbl>
    <w:p w:rsidR="00000000" w:rsidRPr="00500CEE" w:rsidP="00500CEE">
      <w:pPr>
        <w:pStyle w:val="BodyText"/>
      </w:pPr>
    </w:p>
    <w:p w:rsidR="00000000" w:rsidRPr="00500CEE" w:rsidP="00E44BD4">
      <w:pPr>
        <w:pStyle w:val="Heading4"/>
      </w:pPr>
      <w:r w:rsidRPr="00500CEE">
        <w:rPr>
          <w:rStyle w:val="SpecialBold"/>
        </w:rPr>
        <w:t>Group C</w:t>
      </w:r>
    </w:p>
    <w:p w:rsidR="00000000" w:rsidRPr="00500CEE" w:rsidP="00E44BD4">
      <w:pPr>
        <w:pStyle w:val="BodyText"/>
      </w:pPr>
      <w:r w:rsidRPr="00500CEE">
        <w:t xml:space="preserve">At least </w:t>
      </w:r>
      <w:r w:rsidRPr="00500CEE">
        <w:rPr>
          <w:rStyle w:val="SpecialBold"/>
        </w:rPr>
        <w:t>four (4)</w:t>
      </w:r>
      <w:r w:rsidRPr="00500CEE">
        <w:t xml:space="preserve"> units must be selected from Group C.</w:t>
      </w:r>
    </w:p>
    <w:tbl>
      <w:tblPr>
        <w:tblW w:w="0" w:type="auto"/>
        <w:tblLayout w:type="fixed"/>
        <w:tblCellMar>
          <w:left w:w="62" w:type="dxa"/>
          <w:right w:w="62" w:type="dxa"/>
        </w:tblCellMar>
        <w:tblLook w:val="0000"/>
      </w:tblPr>
      <w:tblGrid>
        <w:gridCol w:w="2081"/>
        <w:gridCol w:w="7099"/>
      </w:tblGrid>
      <w:tr w:rsidTr="00500CEE">
        <w:tblPrEx>
          <w:tblW w:w="0" w:type="auto"/>
          <w:tblLayout w:type="fixed"/>
          <w:tblCellMar>
            <w:left w:w="62" w:type="dxa"/>
            <w:right w:w="62" w:type="dxa"/>
          </w:tblCellMar>
          <w:tblLook w:val="0000"/>
        </w:tblPrEx>
        <w:trPr>
          <w:tblHeader/>
        </w:trPr>
        <w:tc>
          <w:tcPr>
            <w:tcW w:w="2081"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rPr>
                <w:rStyle w:val="SpecialBold"/>
              </w:rPr>
              <w:t>Unit code</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rPr>
                <w:rStyle w:val="SpecialBold"/>
              </w:rPr>
              <w:t>Unit title</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BSBSMB401</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Establish legal and risk management requirements of small business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BSBSMB402</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Plan small business finances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BSBSMB403</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Market the small business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BSBSMB404</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Undertake small business planning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BSBSMB405</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Monitor and manage small business operations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BSBSMB406</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Manage small business finances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BSBSMB407</w:t>
            </w:r>
          </w:p>
        </w:tc>
        <w:tc>
          <w:tcPr>
            <w:tcW w:w="7099"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 xml:space="preserve">Manage a small team </w:t>
            </w:r>
          </w:p>
        </w:tc>
      </w:tr>
      <w:tr w:rsidTr="00500CEE">
        <w:tblPrEx>
          <w:tblW w:w="0" w:type="auto"/>
          <w:tblLayout w:type="fixed"/>
          <w:tblCellMar>
            <w:left w:w="62" w:type="dxa"/>
            <w:right w:w="62" w:type="dxa"/>
          </w:tblCellMar>
          <w:tblLook w:val="0000"/>
        </w:tblPrEx>
        <w:tc>
          <w:tcPr>
            <w:tcW w:w="2081" w:type="dxa"/>
            <w:tcBorders>
              <w:top w:val="nil"/>
              <w:left w:val="nil"/>
              <w:bottom w:val="nil"/>
              <w:right w:val="nil"/>
            </w:tcBorders>
            <w:tcMar>
              <w:top w:w="0" w:type="dxa"/>
              <w:left w:w="62" w:type="dxa"/>
              <w:bottom w:w="0" w:type="dxa"/>
              <w:right w:w="62" w:type="dxa"/>
            </w:tcMar>
          </w:tcPr>
          <w:p w:rsidR="00000000" w:rsidP="00500CEE">
            <w:pPr>
              <w:pStyle w:val="BodyText"/>
              <w:rPr>
                <w:lang w:val="en-NZ"/>
              </w:rPr>
            </w:pPr>
            <w:r w:rsidRPr="00500CEE">
              <w:t>MSMENV472</w:t>
            </w:r>
            <w:r w:rsidRPr="00500CEE">
              <w:t xml:space="preserve"> </w:t>
            </w:r>
          </w:p>
        </w:tc>
        <w:tc>
          <w:tcPr>
            <w:tcW w:w="7099" w:type="dxa"/>
            <w:tcBorders>
              <w:top w:val="nil"/>
              <w:left w:val="nil"/>
              <w:bottom w:val="nil"/>
              <w:right w:val="nil"/>
            </w:tcBorders>
            <w:tcMar>
              <w:top w:w="0" w:type="dxa"/>
              <w:left w:w="62" w:type="dxa"/>
              <w:bottom w:w="0" w:type="dxa"/>
              <w:right w:w="62" w:type="dxa"/>
            </w:tcMar>
          </w:tcPr>
          <w:p w:rsidR="00000000" w:rsidRPr="00500CEE" w:rsidP="00500CEE">
            <w:pPr>
              <w:pStyle w:val="BodyText"/>
            </w:pPr>
            <w:r w:rsidRPr="00500CEE">
              <w:t>Implement and monitor environmentally sustainable work practices</w:t>
            </w:r>
          </w:p>
        </w:tc>
      </w:tr>
    </w:tbl>
    <w:p w:rsidR="00000000" w:rsidRPr="00500CEE" w:rsidP="00500CEE">
      <w:pPr>
        <w:pStyle w:val="BodyText"/>
      </w:pPr>
    </w:p>
    <w:p w:rsidR="00000000" w:rsidRPr="00500CEE" w:rsidP="00E44BD4">
      <w:pPr>
        <w:pStyle w:val="Heading4"/>
      </w:pPr>
      <w:r w:rsidRPr="00500CEE">
        <w:rPr>
          <w:rStyle w:val="SpecialBold"/>
        </w:rPr>
        <w:t>Group D</w:t>
      </w:r>
    </w:p>
    <w:p w:rsidR="00000000" w:rsidRPr="00500CEE" w:rsidP="00E44BD4">
      <w:pPr>
        <w:pStyle w:val="BodyText"/>
      </w:pPr>
      <w:r w:rsidRPr="00500CEE">
        <w:t xml:space="preserve">Up to </w:t>
      </w:r>
      <w:r w:rsidRPr="00500CEE">
        <w:rPr>
          <w:rStyle w:val="SpecialBold"/>
        </w:rPr>
        <w:t xml:space="preserve">five (5) </w:t>
      </w:r>
      <w:r w:rsidRPr="00500CEE">
        <w:t xml:space="preserve">relevant units may be chosen from units in Groups A, B and C not already selected, or units available in this Training Package, other endorsed Training Packages and accredited courses. Those units must be aligned at Certificate IV level (maximum 2 units), </w:t>
      </w:r>
      <w:r w:rsidRPr="00500CEE">
        <w:t>Diploma level (maximum 5 units) or Advanced Diploma level (maximum 3 units).</w:t>
      </w:r>
    </w:p>
    <w:p w:rsidR="00000000" w:rsidRPr="00500CEE" w:rsidP="00E44BD4">
      <w:pPr>
        <w:pStyle w:val="BodyText"/>
      </w:pPr>
      <w:r w:rsidRPr="00500CEE">
        <w:t>Units selected from other Training Packages and accredited courses via Group D must be relevant to the qualification outcome and not duplicate units available within this qualifi</w:t>
      </w:r>
      <w:r w:rsidRPr="00500CEE">
        <w:t>cation.</w:t>
      </w:r>
    </w:p>
    <w:p w:rsidR="00000000" w:rsidRPr="00500CEE" w:rsidP="00500CEE">
      <w:pPr>
        <w:pStyle w:val="Heading1"/>
      </w:pPr>
      <w:bookmarkStart w:id="5" w:name="O_918087"/>
      <w:bookmarkEnd w:id="5"/>
      <w:r w:rsidRPr="00500CEE">
        <w:t>Qualification Mapping Information</w:t>
      </w:r>
    </w:p>
    <w:p w:rsidR="00000000" w:rsidRPr="00500CEE" w:rsidP="00E44BD4">
      <w:pPr>
        <w:pStyle w:val="BodyText"/>
      </w:pPr>
      <w:r w:rsidRPr="00500CEE">
        <w:t>Supersedes and is based on LMF50311 Diploma of Stained Glass and Lead Lighting. Outcomes are equivalent.</w:t>
      </w:r>
    </w:p>
    <w:p w:rsidR="00000000" w:rsidRPr="00500CEE" w:rsidP="00500CEE">
      <w:pPr>
        <w:pStyle w:val="Heading1"/>
      </w:pPr>
      <w:bookmarkStart w:id="6" w:name="O_918092"/>
      <w:bookmarkEnd w:id="6"/>
      <w:r w:rsidRPr="00500CEE">
        <w:t>Links</w:t>
      </w:r>
    </w:p>
    <w:p w:rsidR="00000000" w:rsidRPr="00500CEE" w:rsidP="00E44BD4">
      <w:pPr>
        <w:pStyle w:val="BodyText"/>
      </w:pPr>
      <w:r w:rsidRPr="00500CEE">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CC5103">
        <w:rPr>
          <w:rStyle w:val="Hyperlink"/>
        </w:rPr>
        <w:t>https://vetnet.education.gov.au/Pages/TrainingDocs.aspx?q=0601ab95-583a-4e93-b2d4-cfb27b03ed73</w:t>
      </w:r>
      <w:r>
        <w:fldChar w:fldCharType="end"/>
      </w:r>
    </w:p>
    <w:p w:rsidR="00000000" w:rsidRPr="00500CEE" w:rsidP="00500CEE"/>
    <w:sectPr w:rsidSect="00500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EE" w:rsidRPr="00E44BD4" w:rsidP="00E44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D4" w:rsidP="00500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4BD4" w:rsidP="00500C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4BD4" w:rsidP="00500C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CEE" w:rsidRPr="00E44BD4" w:rsidP="00E44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D4" w:rsidRPr="002D2AF8" w:rsidP="00500CEE">
    <w:pPr>
      <w:pStyle w:val="Header"/>
      <w:framePr w:wrap="around"/>
    </w:pPr>
    <w:r>
      <w:fldChar w:fldCharType="begin"/>
    </w:r>
    <w:r>
      <w:instrText xml:space="preserve"> TITLE   \* MERGEFORMAT </w:instrText>
    </w:r>
    <w:r>
      <w:fldChar w:fldCharType="separate"/>
    </w:r>
    <w:r>
      <w:t>MSF50113 Diploma of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2019</w:t>
    </w:r>
    <w:r>
      <w:fldChar w:fldCharType="end"/>
    </w:r>
  </w:p>
  <w:p w:rsidR="00E44BD4" w:rsidP="00500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BC6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880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CEE"/>
    <w:pPr>
      <w:spacing w:before="360" w:after="60"/>
      <w:outlineLvl w:val="0"/>
    </w:pPr>
    <w:rPr>
      <w:sz w:val="32"/>
    </w:rPr>
  </w:style>
  <w:style w:type="paragraph" w:styleId="Heading2">
    <w:name w:val="heading 2"/>
    <w:basedOn w:val="HeadingBase"/>
    <w:next w:val="BodyText"/>
    <w:link w:val="Heading2Char"/>
    <w:qFormat/>
    <w:rsid w:val="00500CEE"/>
    <w:pPr>
      <w:keepLines/>
      <w:spacing w:before="240" w:after="120"/>
      <w:outlineLvl w:val="1"/>
    </w:pPr>
    <w:rPr>
      <w:sz w:val="28"/>
      <w:szCs w:val="40"/>
    </w:rPr>
  </w:style>
  <w:style w:type="paragraph" w:styleId="Heading3">
    <w:name w:val="heading 3"/>
    <w:basedOn w:val="HeadingBase"/>
    <w:next w:val="BodyText"/>
    <w:link w:val="Heading3Char"/>
    <w:qFormat/>
    <w:rsid w:val="00500CEE"/>
    <w:pPr>
      <w:spacing w:before="180" w:after="120"/>
      <w:outlineLvl w:val="2"/>
    </w:pPr>
    <w:rPr>
      <w:spacing w:val="-10"/>
      <w:kern w:val="32"/>
    </w:rPr>
  </w:style>
  <w:style w:type="paragraph" w:styleId="Heading4">
    <w:name w:val="heading 4"/>
    <w:basedOn w:val="HeadingBase"/>
    <w:next w:val="BodyText"/>
    <w:link w:val="Heading4Char"/>
    <w:qFormat/>
    <w:rsid w:val="00500CEE"/>
    <w:pPr>
      <w:spacing w:before="160" w:after="120"/>
      <w:outlineLvl w:val="3"/>
    </w:pPr>
    <w:rPr>
      <w:sz w:val="22"/>
    </w:rPr>
  </w:style>
  <w:style w:type="paragraph" w:styleId="Heading5">
    <w:name w:val="heading 5"/>
    <w:basedOn w:val="HeadingBase"/>
    <w:next w:val="Normal"/>
    <w:link w:val="Heading5Char"/>
    <w:qFormat/>
    <w:rsid w:val="00500CEE"/>
    <w:pPr>
      <w:spacing w:before="80"/>
      <w:outlineLvl w:val="4"/>
    </w:pPr>
    <w:rPr>
      <w:color w:val="918585"/>
      <w:sz w:val="20"/>
    </w:rPr>
  </w:style>
  <w:style w:type="paragraph" w:styleId="Heading6">
    <w:name w:val="heading 6"/>
    <w:basedOn w:val="HeadingBase"/>
    <w:next w:val="Normal"/>
    <w:link w:val="Heading6Char"/>
    <w:qFormat/>
    <w:rsid w:val="00500CEE"/>
    <w:pPr>
      <w:spacing w:before="60"/>
      <w:outlineLvl w:val="5"/>
    </w:pPr>
    <w:rPr>
      <w:color w:val="918585"/>
      <w:sz w:val="20"/>
    </w:rPr>
  </w:style>
  <w:style w:type="paragraph" w:styleId="Heading7">
    <w:name w:val="heading 7"/>
    <w:basedOn w:val="Normal"/>
    <w:next w:val="Normal"/>
    <w:link w:val="Heading7Char"/>
    <w:qFormat/>
    <w:rsid w:val="00500CEE"/>
    <w:pPr>
      <w:ind w:left="720"/>
      <w:outlineLvl w:val="6"/>
    </w:pPr>
    <w:rPr>
      <w:i/>
    </w:rPr>
  </w:style>
  <w:style w:type="paragraph" w:styleId="Heading8">
    <w:name w:val="heading 8"/>
    <w:basedOn w:val="Normal"/>
    <w:next w:val="Normal"/>
    <w:link w:val="Heading8Char"/>
    <w:qFormat/>
    <w:rsid w:val="00500CEE"/>
    <w:pPr>
      <w:ind w:left="720"/>
      <w:outlineLvl w:val="7"/>
    </w:pPr>
    <w:rPr>
      <w:i/>
    </w:rPr>
  </w:style>
  <w:style w:type="paragraph" w:styleId="Heading9">
    <w:name w:val="heading 9"/>
    <w:basedOn w:val="Normal"/>
    <w:next w:val="Normal"/>
    <w:link w:val="Heading9Char"/>
    <w:qFormat/>
    <w:rsid w:val="00500CEE"/>
    <w:pPr>
      <w:ind w:left="720"/>
      <w:outlineLvl w:val="8"/>
    </w:pPr>
    <w:rPr>
      <w:i/>
    </w:rPr>
  </w:style>
  <w:style w:type="character" w:default="1" w:styleId="DefaultParagraphFont">
    <w:name w:val="Default Paragraph Font"/>
    <w:uiPriority w:val="1"/>
    <w:unhideWhenUsed/>
    <w:rsid w:val="00500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CEE"/>
  </w:style>
  <w:style w:type="character" w:customStyle="1" w:styleId="Heading1Char">
    <w:name w:val="Heading 1 Char"/>
    <w:basedOn w:val="DefaultParagraphFont"/>
    <w:link w:val="Heading1"/>
    <w:rsid w:val="00500CEE"/>
    <w:rPr>
      <w:rFonts w:ascii="Times New Roman" w:eastAsia="Times New Roman" w:hAnsi="Times New Roman" w:cs="Times New Roman"/>
      <w:b/>
      <w:sz w:val="32"/>
      <w:szCs w:val="20"/>
      <w:lang w:eastAsia="en-US"/>
    </w:rPr>
  </w:style>
  <w:style w:type="paragraph" w:styleId="BodyText">
    <w:name w:val="Body Text"/>
    <w:basedOn w:val="Normal"/>
    <w:link w:val="BodyTextChar"/>
    <w:rsid w:val="00500C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CEE"/>
    <w:rPr>
      <w:rFonts w:ascii="Times New Roman" w:eastAsia="Times New Roman" w:hAnsi="Times New Roman" w:cs="Times New Roman"/>
      <w:sz w:val="24"/>
      <w:lang w:eastAsia="en-US"/>
    </w:rPr>
  </w:style>
  <w:style w:type="paragraph" w:styleId="ListBullet">
    <w:name w:val="List Bullet"/>
    <w:basedOn w:val="List"/>
    <w:rsid w:val="00500CEE"/>
    <w:pPr>
      <w:numPr>
        <w:numId w:val="12"/>
      </w:numPr>
      <w:tabs>
        <w:tab w:val="clear" w:pos="340"/>
      </w:tabs>
      <w:spacing w:before="40" w:after="40"/>
    </w:pPr>
  </w:style>
  <w:style w:type="character" w:customStyle="1" w:styleId="SpecialBold">
    <w:name w:val="Special Bold"/>
    <w:basedOn w:val="DefaultParagraphFont"/>
    <w:rsid w:val="00500CEE"/>
    <w:rPr>
      <w:b/>
      <w:spacing w:val="0"/>
    </w:rPr>
  </w:style>
  <w:style w:type="paragraph" w:customStyle="1" w:styleId="SuperHeading">
    <w:name w:val="SuperHeading"/>
    <w:basedOn w:val="Normal"/>
    <w:rsid w:val="00500CEE"/>
    <w:pPr>
      <w:spacing w:before="240" w:after="120"/>
      <w:outlineLvl w:val="0"/>
    </w:pPr>
    <w:rPr>
      <w:rFonts w:ascii="Times New Roman" w:hAnsi="Times New Roman"/>
      <w:b/>
      <w:sz w:val="32"/>
    </w:rPr>
  </w:style>
  <w:style w:type="paragraph" w:customStyle="1" w:styleId="AllowPageBreak">
    <w:name w:val="AllowPageBreak"/>
    <w:rsid w:val="00500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CEE"/>
    <w:rPr>
      <w:rFonts w:ascii="Courier New" w:eastAsia="Times New Roman" w:hAnsi="Courier New" w:cs="Times New Roman"/>
      <w:i/>
      <w:szCs w:val="20"/>
      <w:lang w:eastAsia="en-US"/>
    </w:rPr>
  </w:style>
  <w:style w:type="paragraph" w:customStyle="1" w:styleId="HeadingBase">
    <w:name w:val="Heading Base"/>
    <w:rsid w:val="00500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CEE"/>
    <w:pPr>
      <w:tabs>
        <w:tab w:val="right" w:leader="dot" w:pos="9072"/>
      </w:tabs>
      <w:ind w:left="567"/>
    </w:pPr>
    <w:rPr>
      <w:szCs w:val="22"/>
    </w:rPr>
  </w:style>
  <w:style w:type="paragraph" w:customStyle="1" w:styleId="TOCBase">
    <w:name w:val="TOC Base"/>
    <w:rsid w:val="00500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CEE"/>
    <w:pPr>
      <w:tabs>
        <w:tab w:val="right" w:leader="dot" w:pos="9072"/>
      </w:tabs>
      <w:spacing w:before="40" w:after="40"/>
      <w:ind w:left="284"/>
    </w:pPr>
    <w:rPr>
      <w:rFonts w:ascii="Times New Roman" w:hAnsi="Times New Roman"/>
    </w:rPr>
  </w:style>
  <w:style w:type="paragraph" w:styleId="TOC1">
    <w:name w:val="toc 1"/>
    <w:basedOn w:val="TOCBase"/>
    <w:next w:val="Normal"/>
    <w:rsid w:val="00500C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CEE"/>
    <w:rPr>
      <w:rFonts w:ascii="Times New Roman" w:eastAsia="Times New Roman" w:hAnsi="Times New Roman" w:cs="Times New Roman"/>
      <w:sz w:val="16"/>
      <w:lang w:eastAsia="en-US"/>
    </w:rPr>
  </w:style>
  <w:style w:type="paragraph" w:styleId="Title">
    <w:name w:val="Title"/>
    <w:basedOn w:val="HeadingBase"/>
    <w:link w:val="TitleChar"/>
    <w:qFormat/>
    <w:rsid w:val="00500CEE"/>
    <w:pPr>
      <w:spacing w:before="5040"/>
      <w:jc w:val="center"/>
    </w:pPr>
    <w:rPr>
      <w:sz w:val="48"/>
      <w:szCs w:val="72"/>
      <w:lang w:val="en-US"/>
    </w:rPr>
  </w:style>
  <w:style w:type="character" w:customStyle="1" w:styleId="TitleChar">
    <w:name w:val="Title Char"/>
    <w:basedOn w:val="DefaultParagraphFont"/>
    <w:link w:val="Title"/>
    <w:rsid w:val="00500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CEE"/>
    <w:pPr>
      <w:tabs>
        <w:tab w:val="left" w:pos="3600"/>
        <w:tab w:val="left" w:pos="3958"/>
      </w:tabs>
    </w:pPr>
  </w:style>
  <w:style w:type="paragraph" w:styleId="List">
    <w:name w:val="List"/>
    <w:basedOn w:val="BodyText"/>
    <w:next w:val="BodyText"/>
    <w:rsid w:val="00500CEE"/>
    <w:pPr>
      <w:tabs>
        <w:tab w:val="left" w:pos="340"/>
      </w:tabs>
      <w:spacing w:before="60" w:after="60"/>
      <w:ind w:left="340" w:hanging="340"/>
    </w:pPr>
  </w:style>
  <w:style w:type="paragraph" w:customStyle="1" w:styleId="Note">
    <w:name w:val="Note"/>
    <w:basedOn w:val="BodyText"/>
    <w:rsid w:val="00500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CEE"/>
    <w:pPr>
      <w:framePr w:wrap="auto" w:hAnchor="text" w:y="6049"/>
    </w:pPr>
    <w:rPr>
      <w:color w:val="000000"/>
      <w:sz w:val="40"/>
    </w:rPr>
  </w:style>
  <w:style w:type="paragraph" w:customStyle="1" w:styleId="TOCTitle">
    <w:name w:val="TOCTitle"/>
    <w:basedOn w:val="Heading1"/>
    <w:rsid w:val="00500CEE"/>
    <w:pPr>
      <w:spacing w:after="240"/>
      <w:jc w:val="center"/>
      <w:outlineLvl w:val="9"/>
    </w:pPr>
    <w:rPr>
      <w:caps/>
    </w:rPr>
  </w:style>
  <w:style w:type="paragraph" w:customStyle="1" w:styleId="Version">
    <w:name w:val="Version"/>
    <w:rsid w:val="00500C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CEE"/>
    <w:pPr>
      <w:numPr>
        <w:numId w:val="13"/>
      </w:numPr>
      <w:tabs>
        <w:tab w:val="clear" w:pos="680"/>
      </w:tabs>
    </w:pPr>
  </w:style>
  <w:style w:type="paragraph" w:styleId="Index1">
    <w:name w:val="index 1"/>
    <w:basedOn w:val="Normal"/>
    <w:next w:val="Normal"/>
    <w:semiHidden/>
    <w:rsid w:val="00500CEE"/>
    <w:pPr>
      <w:keepNext w:val="0"/>
      <w:tabs>
        <w:tab w:val="right" w:pos="4176"/>
      </w:tabs>
      <w:ind w:left="198" w:hanging="198"/>
    </w:pPr>
    <w:rPr>
      <w:rFonts w:ascii="Garamond" w:hAnsi="Garamond"/>
    </w:rPr>
  </w:style>
  <w:style w:type="paragraph" w:styleId="IndexHeading">
    <w:name w:val="index heading"/>
    <w:basedOn w:val="Normal"/>
    <w:next w:val="Index1"/>
    <w:semiHidden/>
    <w:rsid w:val="00500CEE"/>
    <w:pPr>
      <w:spacing w:before="120" w:after="120"/>
    </w:pPr>
    <w:rPr>
      <w:rFonts w:ascii="Arial" w:hAnsi="Arial"/>
      <w:b/>
      <w:color w:val="918585"/>
      <w:sz w:val="24"/>
    </w:rPr>
  </w:style>
  <w:style w:type="paragraph" w:styleId="Header">
    <w:name w:val="header"/>
    <w:basedOn w:val="Normal"/>
    <w:link w:val="HeaderChar"/>
    <w:rsid w:val="00500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CEE"/>
    <w:rPr>
      <w:rFonts w:ascii="Times New Roman" w:eastAsia="Times New Roman" w:hAnsi="Times New Roman" w:cs="Times New Roman"/>
      <w:sz w:val="16"/>
      <w:szCs w:val="20"/>
      <w:lang w:val="en-GB" w:eastAsia="en-US"/>
    </w:rPr>
  </w:style>
  <w:style w:type="paragraph" w:customStyle="1" w:styleId="Chapter">
    <w:name w:val="Chapter"/>
    <w:basedOn w:val="Normal"/>
    <w:rsid w:val="00500CEE"/>
    <w:pPr>
      <w:spacing w:before="240"/>
    </w:pPr>
    <w:rPr>
      <w:rFonts w:ascii="Times New Roman" w:hAnsi="Times New Roman"/>
      <w:smallCaps/>
      <w:spacing w:val="80"/>
      <w:sz w:val="28"/>
    </w:rPr>
  </w:style>
  <w:style w:type="paragraph" w:customStyle="1" w:styleId="InChapter">
    <w:name w:val="InChapter"/>
    <w:basedOn w:val="Heading3"/>
    <w:rsid w:val="00500CEE"/>
    <w:pPr>
      <w:spacing w:after="240"/>
      <w:outlineLvl w:val="9"/>
    </w:pPr>
    <w:rPr>
      <w:noProof/>
    </w:rPr>
  </w:style>
  <w:style w:type="paragraph" w:styleId="Index2">
    <w:name w:val="index 2"/>
    <w:basedOn w:val="Normal"/>
    <w:next w:val="Normal"/>
    <w:semiHidden/>
    <w:rsid w:val="00500CEE"/>
    <w:pPr>
      <w:tabs>
        <w:tab w:val="right" w:pos="4176"/>
      </w:tabs>
      <w:ind w:left="568" w:hanging="284"/>
    </w:pPr>
    <w:rPr>
      <w:rFonts w:ascii="Garamond" w:hAnsi="Garamond"/>
    </w:rPr>
  </w:style>
  <w:style w:type="paragraph" w:customStyle="1" w:styleId="Byline">
    <w:name w:val="Byline"/>
    <w:rsid w:val="00500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CEE"/>
    <w:pPr>
      <w:tabs>
        <w:tab w:val="clear" w:pos="3600"/>
        <w:tab w:val="clear" w:pos="3958"/>
      </w:tabs>
      <w:jc w:val="right"/>
    </w:pPr>
  </w:style>
  <w:style w:type="character" w:styleId="Emphasis">
    <w:name w:val="Emphasis"/>
    <w:basedOn w:val="DefaultParagraphFont"/>
    <w:qFormat/>
    <w:rsid w:val="00500CEE"/>
    <w:rPr>
      <w:i/>
    </w:rPr>
  </w:style>
  <w:style w:type="paragraph" w:styleId="Caption">
    <w:name w:val="caption"/>
    <w:basedOn w:val="BodyText"/>
    <w:next w:val="Normal"/>
    <w:qFormat/>
    <w:rsid w:val="00500CEE"/>
    <w:pPr>
      <w:framePr w:w="2268" w:hSpace="181" w:vSpace="181" w:wrap="around" w:vAnchor="text" w:hAnchor="page" w:x="1135" w:y="285" w:anchorLock="1"/>
    </w:pPr>
    <w:rPr>
      <w:i/>
    </w:rPr>
  </w:style>
  <w:style w:type="paragraph" w:customStyle="1" w:styleId="MiniTOCTitle">
    <w:name w:val="MiniTOCTitle"/>
    <w:basedOn w:val="Heading4"/>
    <w:rsid w:val="00500CEE"/>
    <w:pPr>
      <w:spacing w:before="240"/>
      <w:outlineLvl w:val="9"/>
    </w:pPr>
    <w:rPr>
      <w:noProof/>
      <w:sz w:val="24"/>
    </w:rPr>
  </w:style>
  <w:style w:type="paragraph" w:customStyle="1" w:styleId="MiniTOCItem">
    <w:name w:val="MiniTOCItem"/>
    <w:basedOn w:val="ListBullet"/>
    <w:rsid w:val="00500CEE"/>
    <w:pPr>
      <w:numPr>
        <w:numId w:val="0"/>
      </w:numPr>
      <w:tabs>
        <w:tab w:val="right" w:leader="dot" w:pos="6521"/>
      </w:tabs>
      <w:spacing w:before="0" w:after="0"/>
    </w:pPr>
  </w:style>
  <w:style w:type="paragraph" w:customStyle="1" w:styleId="TOFTitle">
    <w:name w:val="TOFTitle"/>
    <w:basedOn w:val="TOCTitle"/>
    <w:rsid w:val="00500CEE"/>
  </w:style>
  <w:style w:type="paragraph" w:styleId="TableofFigures">
    <w:name w:val="table of figures"/>
    <w:basedOn w:val="Normal"/>
    <w:next w:val="Normal"/>
    <w:semiHidden/>
    <w:rsid w:val="00500CEE"/>
    <w:pPr>
      <w:tabs>
        <w:tab w:val="right" w:leader="dot" w:pos="9072"/>
      </w:tabs>
      <w:ind w:left="970" w:hanging="403"/>
    </w:pPr>
    <w:rPr>
      <w:rFonts w:ascii="Times New Roman" w:hAnsi="Times New Roman"/>
      <w:b/>
    </w:rPr>
  </w:style>
  <w:style w:type="paragraph" w:styleId="ListNumber">
    <w:name w:val="List Number"/>
    <w:basedOn w:val="List"/>
    <w:rsid w:val="00500CEE"/>
    <w:pPr>
      <w:numPr>
        <w:numId w:val="10"/>
      </w:numPr>
    </w:pPr>
  </w:style>
  <w:style w:type="character" w:customStyle="1" w:styleId="WingdingSymbols">
    <w:name w:val="Wingding Symbols"/>
    <w:rsid w:val="00500CEE"/>
    <w:rPr>
      <w:rFonts w:ascii="Wingdings" w:hAnsi="Wingdings"/>
    </w:rPr>
  </w:style>
  <w:style w:type="paragraph" w:customStyle="1" w:styleId="TableHeading">
    <w:name w:val="Table Heading"/>
    <w:basedOn w:val="HeadingBase"/>
    <w:rsid w:val="00500CEE"/>
    <w:pPr>
      <w:keepLines/>
      <w:pBdr>
        <w:bottom w:val="single" w:sz="6" w:space="1" w:color="918585"/>
      </w:pBdr>
      <w:spacing w:before="240"/>
    </w:pPr>
  </w:style>
  <w:style w:type="character" w:customStyle="1" w:styleId="HotSpot">
    <w:name w:val="HotSpot"/>
    <w:rsid w:val="00500CEE"/>
    <w:rPr>
      <w:color w:val="0033CC"/>
      <w:u w:val="none"/>
    </w:rPr>
  </w:style>
  <w:style w:type="paragraph" w:customStyle="1" w:styleId="BodyTextRight">
    <w:name w:val="Body Text Right"/>
    <w:basedOn w:val="BodyText"/>
    <w:rsid w:val="00500CEE"/>
    <w:pPr>
      <w:spacing w:before="0" w:after="0"/>
      <w:jc w:val="right"/>
    </w:pPr>
  </w:style>
  <w:style w:type="paragraph" w:styleId="Index3">
    <w:name w:val="index 3"/>
    <w:basedOn w:val="ListNumber2"/>
    <w:next w:val="Normal"/>
    <w:semiHidden/>
    <w:rsid w:val="00500CEE"/>
    <w:pPr>
      <w:numPr>
        <w:numId w:val="0"/>
      </w:numPr>
      <w:tabs>
        <w:tab w:val="right" w:leader="dot" w:pos="4176"/>
      </w:tabs>
    </w:pPr>
  </w:style>
  <w:style w:type="paragraph" w:styleId="ListNumber2">
    <w:name w:val="List Number 2"/>
    <w:basedOn w:val="List2"/>
    <w:rsid w:val="00500CEE"/>
    <w:pPr>
      <w:numPr>
        <w:numId w:val="9"/>
      </w:numPr>
      <w:tabs>
        <w:tab w:val="clear" w:pos="1060"/>
      </w:tabs>
    </w:pPr>
  </w:style>
  <w:style w:type="paragraph" w:customStyle="1" w:styleId="MarginNote">
    <w:name w:val="Margin Note"/>
    <w:basedOn w:val="BodyText"/>
    <w:rsid w:val="00500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CEE"/>
    <w:rPr>
      <w:sz w:val="32"/>
    </w:rPr>
  </w:style>
  <w:style w:type="paragraph" w:customStyle="1" w:styleId="HeadingProcedure">
    <w:name w:val="Heading Procedure"/>
    <w:basedOn w:val="HeadingBase"/>
    <w:next w:val="Normal"/>
    <w:rsid w:val="00500CEE"/>
    <w:pPr>
      <w:tabs>
        <w:tab w:val="left" w:pos="0"/>
      </w:tabs>
      <w:spacing w:before="120" w:after="60"/>
    </w:pPr>
    <w:rPr>
      <w:i/>
      <w:color w:val="918585"/>
      <w:sz w:val="22"/>
    </w:rPr>
  </w:style>
  <w:style w:type="paragraph" w:customStyle="1" w:styleId="TableBodyText">
    <w:name w:val="Table Body Text"/>
    <w:basedOn w:val="BodyText"/>
    <w:rsid w:val="00500CEE"/>
    <w:pPr>
      <w:spacing w:before="60" w:after="60"/>
    </w:pPr>
  </w:style>
  <w:style w:type="paragraph" w:styleId="ListContinue">
    <w:name w:val="List Continue"/>
    <w:basedOn w:val="List"/>
    <w:rsid w:val="00500CEE"/>
    <w:pPr>
      <w:ind w:firstLine="0"/>
    </w:pPr>
  </w:style>
  <w:style w:type="paragraph" w:customStyle="1" w:styleId="ListNote">
    <w:name w:val="List Note"/>
    <w:basedOn w:val="List"/>
    <w:rsid w:val="00500CEE"/>
    <w:pPr>
      <w:pBdr>
        <w:top w:val="single" w:sz="6" w:space="2" w:color="918585"/>
        <w:bottom w:val="single" w:sz="6" w:space="2" w:color="918585"/>
      </w:pBdr>
      <w:tabs>
        <w:tab w:val="left" w:pos="1021"/>
      </w:tabs>
      <w:ind w:firstLine="0"/>
    </w:pPr>
  </w:style>
  <w:style w:type="paragraph" w:customStyle="1" w:styleId="Warning">
    <w:name w:val="Warning"/>
    <w:basedOn w:val="BodyText"/>
    <w:rsid w:val="00500CEE"/>
    <w:pPr>
      <w:shd w:val="clear" w:color="auto" w:fill="D9D9D9"/>
      <w:tabs>
        <w:tab w:val="left" w:pos="992"/>
      </w:tabs>
      <w:ind w:left="119" w:right="119"/>
    </w:pPr>
    <w:rPr>
      <w:sz w:val="20"/>
    </w:rPr>
  </w:style>
  <w:style w:type="paragraph" w:customStyle="1" w:styleId="MarginIcons">
    <w:name w:val="Margin Icons"/>
    <w:basedOn w:val="BodyText"/>
    <w:rsid w:val="00500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CEE"/>
    <w:rPr>
      <w:rFonts w:ascii="Courier New" w:hAnsi="Courier New"/>
    </w:rPr>
  </w:style>
  <w:style w:type="paragraph" w:customStyle="1" w:styleId="NoteBullet">
    <w:name w:val="Note Bullet"/>
    <w:basedOn w:val="Note"/>
    <w:rsid w:val="00500CEE"/>
    <w:pPr>
      <w:tabs>
        <w:tab w:val="clear" w:pos="680"/>
      </w:tabs>
      <w:spacing w:before="60" w:after="60"/>
    </w:pPr>
  </w:style>
  <w:style w:type="paragraph" w:customStyle="1" w:styleId="SubHeading2">
    <w:name w:val="SubHeading2"/>
    <w:basedOn w:val="HeadingBase"/>
    <w:rsid w:val="00500CEE"/>
    <w:pPr>
      <w:spacing w:before="240" w:after="60"/>
    </w:pPr>
    <w:rPr>
      <w:sz w:val="20"/>
    </w:rPr>
  </w:style>
  <w:style w:type="paragraph" w:customStyle="1" w:styleId="SubHeading1">
    <w:name w:val="SubHeading1"/>
    <w:basedOn w:val="HeadingBase"/>
    <w:rsid w:val="00500CEE"/>
    <w:pPr>
      <w:spacing w:before="240" w:after="60"/>
    </w:pPr>
    <w:rPr>
      <w:color w:val="918585"/>
      <w:sz w:val="22"/>
    </w:rPr>
  </w:style>
  <w:style w:type="paragraph" w:customStyle="1" w:styleId="SideHeading">
    <w:name w:val="Side Heading"/>
    <w:basedOn w:val="HeadingBase"/>
    <w:rsid w:val="00500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CEE"/>
    <w:pPr>
      <w:tabs>
        <w:tab w:val="num" w:pos="360"/>
      </w:tabs>
    </w:pPr>
  </w:style>
  <w:style w:type="paragraph" w:styleId="PlainText">
    <w:name w:val="Plain Text"/>
    <w:basedOn w:val="Normal"/>
    <w:link w:val="PlainTextChar"/>
    <w:rsid w:val="00500CEE"/>
    <w:rPr>
      <w:sz w:val="20"/>
    </w:rPr>
  </w:style>
  <w:style w:type="character" w:customStyle="1" w:styleId="PlainTextChar">
    <w:name w:val="Plain Text Char"/>
    <w:basedOn w:val="DefaultParagraphFont"/>
    <w:link w:val="PlainText"/>
    <w:rsid w:val="00500CEE"/>
    <w:rPr>
      <w:rFonts w:ascii="Courier New" w:eastAsia="Times New Roman" w:hAnsi="Courier New" w:cs="Times New Roman"/>
      <w:sz w:val="20"/>
      <w:szCs w:val="20"/>
      <w:lang w:eastAsia="en-US"/>
    </w:rPr>
  </w:style>
  <w:style w:type="character" w:customStyle="1" w:styleId="MenuOption">
    <w:name w:val="Menu Option"/>
    <w:basedOn w:val="DefaultParagraphFont"/>
    <w:rsid w:val="00500CEE"/>
    <w:rPr>
      <w:b/>
      <w:smallCaps/>
    </w:rPr>
  </w:style>
  <w:style w:type="paragraph" w:customStyle="1" w:styleId="TableListNumber">
    <w:name w:val="Table List Number"/>
    <w:basedOn w:val="ListNumber"/>
    <w:rsid w:val="00500CEE"/>
    <w:pPr>
      <w:numPr>
        <w:numId w:val="0"/>
      </w:numPr>
    </w:pPr>
  </w:style>
  <w:style w:type="paragraph" w:styleId="TOC4">
    <w:name w:val="toc 4"/>
    <w:basedOn w:val="TOCBase"/>
    <w:next w:val="Normal"/>
    <w:semiHidden/>
    <w:rsid w:val="00500CEE"/>
    <w:pPr>
      <w:tabs>
        <w:tab w:val="right" w:leader="dot" w:pos="9071"/>
      </w:tabs>
      <w:ind w:left="1701"/>
    </w:pPr>
  </w:style>
  <w:style w:type="paragraph" w:customStyle="1" w:styleId="ListAlpha">
    <w:name w:val="List Alpha"/>
    <w:basedOn w:val="List"/>
    <w:rsid w:val="00500CEE"/>
    <w:pPr>
      <w:numPr>
        <w:numId w:val="8"/>
      </w:numPr>
    </w:pPr>
  </w:style>
  <w:style w:type="paragraph" w:customStyle="1" w:styleId="ListAlpha2">
    <w:name w:val="List Alpha 2"/>
    <w:basedOn w:val="List2"/>
    <w:rsid w:val="00500CEE"/>
    <w:pPr>
      <w:numPr>
        <w:numId w:val="7"/>
      </w:numPr>
    </w:pPr>
  </w:style>
  <w:style w:type="paragraph" w:styleId="List2">
    <w:name w:val="List 2"/>
    <w:basedOn w:val="BodyText"/>
    <w:rsid w:val="00500CEE"/>
    <w:pPr>
      <w:tabs>
        <w:tab w:val="left" w:pos="680"/>
      </w:tabs>
      <w:spacing w:before="60" w:after="60"/>
      <w:ind w:left="680" w:hanging="340"/>
    </w:pPr>
  </w:style>
  <w:style w:type="paragraph" w:styleId="List3">
    <w:name w:val="List 3"/>
    <w:basedOn w:val="BodyText"/>
    <w:rsid w:val="00500CEE"/>
    <w:pPr>
      <w:tabs>
        <w:tab w:val="left" w:pos="1021"/>
      </w:tabs>
      <w:spacing w:before="60" w:after="60"/>
      <w:ind w:left="1020" w:hanging="340"/>
    </w:pPr>
  </w:style>
  <w:style w:type="paragraph" w:styleId="List4">
    <w:name w:val="List 4"/>
    <w:basedOn w:val="BodyText"/>
    <w:rsid w:val="00500CEE"/>
    <w:pPr>
      <w:tabs>
        <w:tab w:val="left" w:pos="1361"/>
      </w:tabs>
      <w:spacing w:before="60" w:after="60"/>
      <w:ind w:left="1361" w:hanging="340"/>
    </w:pPr>
  </w:style>
  <w:style w:type="paragraph" w:styleId="List5">
    <w:name w:val="List 5"/>
    <w:basedOn w:val="BodyText"/>
    <w:rsid w:val="00500CEE"/>
    <w:pPr>
      <w:tabs>
        <w:tab w:val="left" w:pos="1701"/>
      </w:tabs>
      <w:spacing w:before="60" w:after="60"/>
      <w:ind w:left="1701" w:hanging="340"/>
    </w:pPr>
  </w:style>
  <w:style w:type="paragraph" w:styleId="ListBullet3">
    <w:name w:val="List Bullet 3"/>
    <w:basedOn w:val="List3"/>
    <w:rsid w:val="00500CEE"/>
    <w:pPr>
      <w:numPr>
        <w:numId w:val="14"/>
      </w:numPr>
      <w:tabs>
        <w:tab w:val="clear" w:pos="1021"/>
      </w:tabs>
      <w:ind w:left="1037" w:hanging="357"/>
    </w:pPr>
  </w:style>
  <w:style w:type="paragraph" w:styleId="ListBullet4">
    <w:name w:val="List Bullet 4"/>
    <w:basedOn w:val="List4"/>
    <w:rsid w:val="00500CEE"/>
    <w:pPr>
      <w:numPr>
        <w:numId w:val="2"/>
      </w:numPr>
      <w:tabs>
        <w:tab w:val="clear" w:pos="1361"/>
      </w:tabs>
    </w:pPr>
  </w:style>
  <w:style w:type="paragraph" w:styleId="ListBullet5">
    <w:name w:val="List Bullet 5"/>
    <w:basedOn w:val="List5"/>
    <w:rsid w:val="00500CEE"/>
    <w:pPr>
      <w:numPr>
        <w:numId w:val="3"/>
      </w:numPr>
    </w:pPr>
  </w:style>
  <w:style w:type="paragraph" w:styleId="ListContinue2">
    <w:name w:val="List Continue 2"/>
    <w:basedOn w:val="List2"/>
    <w:rsid w:val="00500CEE"/>
    <w:pPr>
      <w:ind w:firstLine="0"/>
    </w:pPr>
  </w:style>
  <w:style w:type="paragraph" w:styleId="ListContinue3">
    <w:name w:val="List Continue 3"/>
    <w:basedOn w:val="List3"/>
    <w:rsid w:val="00500CEE"/>
    <w:pPr>
      <w:ind w:left="1021" w:firstLine="0"/>
    </w:pPr>
  </w:style>
  <w:style w:type="paragraph" w:styleId="ListContinue4">
    <w:name w:val="List Continue 4"/>
    <w:basedOn w:val="List4"/>
    <w:rsid w:val="00500CEE"/>
    <w:pPr>
      <w:ind w:firstLine="0"/>
    </w:pPr>
  </w:style>
  <w:style w:type="paragraph" w:styleId="ListContinue5">
    <w:name w:val="List Continue 5"/>
    <w:basedOn w:val="List5"/>
    <w:rsid w:val="00500CEE"/>
    <w:pPr>
      <w:ind w:firstLine="0"/>
    </w:pPr>
  </w:style>
  <w:style w:type="paragraph" w:styleId="ListNumber3">
    <w:name w:val="List Number 3"/>
    <w:basedOn w:val="List3"/>
    <w:rsid w:val="00500CEE"/>
    <w:pPr>
      <w:numPr>
        <w:numId w:val="4"/>
      </w:numPr>
    </w:pPr>
  </w:style>
  <w:style w:type="paragraph" w:styleId="ListNumber4">
    <w:name w:val="List Number 4"/>
    <w:basedOn w:val="List4"/>
    <w:rsid w:val="00500CEE"/>
    <w:pPr>
      <w:numPr>
        <w:numId w:val="5"/>
      </w:numPr>
    </w:pPr>
  </w:style>
  <w:style w:type="paragraph" w:styleId="ListNumber5">
    <w:name w:val="List Number 5"/>
    <w:basedOn w:val="List5"/>
    <w:rsid w:val="00500CEE"/>
    <w:pPr>
      <w:numPr>
        <w:numId w:val="6"/>
      </w:numPr>
    </w:pPr>
  </w:style>
  <w:style w:type="paragraph" w:styleId="BlockText">
    <w:name w:val="Block Text"/>
    <w:basedOn w:val="Normal"/>
    <w:rsid w:val="00500CEE"/>
    <w:pPr>
      <w:spacing w:after="120"/>
      <w:ind w:left="1440" w:right="1440"/>
    </w:pPr>
  </w:style>
  <w:style w:type="character" w:customStyle="1" w:styleId="Subscript">
    <w:name w:val="Subscript"/>
    <w:basedOn w:val="DefaultParagraphFont"/>
    <w:rsid w:val="00500CEE"/>
    <w:rPr>
      <w:sz w:val="16"/>
      <w:vertAlign w:val="subscript"/>
    </w:rPr>
  </w:style>
  <w:style w:type="character" w:customStyle="1" w:styleId="Superscript">
    <w:name w:val="Superscript"/>
    <w:basedOn w:val="DefaultParagraphFont"/>
    <w:rsid w:val="00500CEE"/>
    <w:rPr>
      <w:sz w:val="16"/>
      <w:vertAlign w:val="superscript"/>
    </w:rPr>
  </w:style>
  <w:style w:type="character" w:customStyle="1" w:styleId="Symbols">
    <w:name w:val="Symbols"/>
    <w:basedOn w:val="DefaultParagraphFont"/>
    <w:rsid w:val="00500CEE"/>
    <w:rPr>
      <w:rFonts w:ascii="Symbol" w:hAnsi="Symbol"/>
    </w:rPr>
  </w:style>
  <w:style w:type="character" w:customStyle="1" w:styleId="MenuOptions">
    <w:name w:val="Menu Options"/>
    <w:basedOn w:val="DefaultParagraphFont"/>
    <w:rsid w:val="00500CEE"/>
    <w:rPr>
      <w:rFonts w:ascii="Arial Narrow" w:hAnsi="Arial Narrow"/>
      <w:smallCaps/>
    </w:rPr>
  </w:style>
  <w:style w:type="character" w:customStyle="1" w:styleId="Buttons">
    <w:name w:val="Buttons"/>
    <w:basedOn w:val="DefaultParagraphFont"/>
    <w:rsid w:val="00500CEE"/>
    <w:rPr>
      <w:b/>
    </w:rPr>
  </w:style>
  <w:style w:type="character" w:customStyle="1" w:styleId="Underlined">
    <w:name w:val="Underlined"/>
    <w:basedOn w:val="DefaultParagraphFont"/>
    <w:rsid w:val="00500CEE"/>
    <w:rPr>
      <w:u w:val="single"/>
    </w:rPr>
  </w:style>
  <w:style w:type="paragraph" w:customStyle="1" w:styleId="TableBodyTextRight">
    <w:name w:val="Table Body Text Right"/>
    <w:basedOn w:val="TableBodyText"/>
    <w:rsid w:val="00500CEE"/>
    <w:pPr>
      <w:widowControl w:val="0"/>
      <w:autoSpaceDE w:val="0"/>
      <w:autoSpaceDN w:val="0"/>
      <w:adjustRightInd w:val="0"/>
      <w:jc w:val="right"/>
    </w:pPr>
    <w:rPr>
      <w:rFonts w:cs="Arial"/>
      <w:szCs w:val="18"/>
    </w:rPr>
  </w:style>
  <w:style w:type="paragraph" w:customStyle="1" w:styleId="CopyrightText">
    <w:name w:val="Copyright Text"/>
    <w:basedOn w:val="BodyText"/>
    <w:rsid w:val="00500CEE"/>
    <w:rPr>
      <w:sz w:val="18"/>
    </w:rPr>
  </w:style>
  <w:style w:type="paragraph" w:customStyle="1" w:styleId="BodySmallRight">
    <w:name w:val="Body Small Right"/>
    <w:basedOn w:val="BodyTextRight"/>
    <w:rsid w:val="00500CEE"/>
    <w:rPr>
      <w:sz w:val="18"/>
      <w:szCs w:val="18"/>
    </w:rPr>
  </w:style>
  <w:style w:type="paragraph" w:customStyle="1" w:styleId="MarginEdition">
    <w:name w:val="Margin Edition"/>
    <w:basedOn w:val="MarginNote"/>
    <w:rsid w:val="00500CEE"/>
    <w:pPr>
      <w:spacing w:before="0" w:after="0"/>
    </w:pPr>
    <w:rPr>
      <w:rFonts w:ascii="Times New Roman" w:hAnsi="Times New Roman"/>
      <w:color w:val="999999"/>
    </w:rPr>
  </w:style>
  <w:style w:type="paragraph" w:customStyle="1" w:styleId="Spacer">
    <w:name w:val="Spacer"/>
    <w:basedOn w:val="Normal"/>
    <w:rsid w:val="00500CEE"/>
    <w:rPr>
      <w:sz w:val="2"/>
      <w:szCs w:val="2"/>
    </w:rPr>
  </w:style>
  <w:style w:type="character" w:customStyle="1" w:styleId="Small">
    <w:name w:val="Small"/>
    <w:basedOn w:val="DefaultParagraphFont"/>
    <w:rsid w:val="00500CEE"/>
    <w:rPr>
      <w:sz w:val="16"/>
    </w:rPr>
  </w:style>
  <w:style w:type="paragraph" w:customStyle="1" w:styleId="WideTable">
    <w:name w:val="Wide Table"/>
    <w:basedOn w:val="Normal"/>
    <w:rsid w:val="00500CEE"/>
    <w:pPr>
      <w:ind w:left="-1418"/>
    </w:pPr>
    <w:rPr>
      <w:sz w:val="2"/>
      <w:szCs w:val="2"/>
    </w:rPr>
  </w:style>
  <w:style w:type="character" w:styleId="PageNumber">
    <w:name w:val="page number"/>
    <w:basedOn w:val="DefaultParagraphFont"/>
    <w:rsid w:val="00500CEE"/>
  </w:style>
  <w:style w:type="paragraph" w:styleId="Quote">
    <w:name w:val="Quote"/>
    <w:basedOn w:val="Heading1"/>
    <w:link w:val="QuoteChar"/>
    <w:qFormat/>
    <w:rsid w:val="00500CEE"/>
    <w:rPr>
      <w:b w:val="0"/>
      <w:sz w:val="72"/>
      <w:szCs w:val="72"/>
      <w:lang w:val="en-NZ"/>
    </w:rPr>
  </w:style>
  <w:style w:type="character" w:customStyle="1" w:styleId="QuoteChar">
    <w:name w:val="Quote Char"/>
    <w:basedOn w:val="DefaultParagraphFont"/>
    <w:link w:val="Quote"/>
    <w:rsid w:val="00500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CEE"/>
    <w:pPr>
      <w:pageBreakBefore/>
    </w:pPr>
  </w:style>
  <w:style w:type="paragraph" w:customStyle="1" w:styleId="Border">
    <w:name w:val="Border"/>
    <w:basedOn w:val="Normal"/>
    <w:qFormat/>
    <w:rsid w:val="00500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CEE"/>
    <w:rPr>
      <w:b/>
      <w:bCs/>
      <w:i/>
      <w:iCs/>
      <w:color w:val="auto"/>
    </w:rPr>
  </w:style>
  <w:style w:type="paragraph" w:styleId="IntenseQuote">
    <w:name w:val="Intense Quote"/>
    <w:basedOn w:val="Normal"/>
    <w:next w:val="Normal"/>
    <w:link w:val="IntenseQuoteChar"/>
    <w:uiPriority w:val="30"/>
    <w:qFormat/>
    <w:rsid w:val="00500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CEE"/>
    <w:rPr>
      <w:smallCaps/>
      <w:color w:val="auto"/>
      <w:u w:val="single"/>
    </w:rPr>
  </w:style>
  <w:style w:type="character" w:styleId="IntenseReference">
    <w:name w:val="Intense Reference"/>
    <w:basedOn w:val="DefaultParagraphFont"/>
    <w:uiPriority w:val="32"/>
    <w:qFormat/>
    <w:rsid w:val="00500CEE"/>
    <w:rPr>
      <w:b/>
      <w:bCs/>
      <w:smallCaps/>
      <w:color w:val="auto"/>
      <w:spacing w:val="5"/>
      <w:u w:val="single"/>
    </w:rPr>
  </w:style>
  <w:style w:type="paragraph" w:customStyle="1" w:styleId="2ColumnHeading">
    <w:name w:val="2Column Heading"/>
    <w:basedOn w:val="BodyText"/>
    <w:qFormat/>
    <w:rsid w:val="00500CEE"/>
    <w:pPr>
      <w:spacing w:after="60"/>
      <w:ind w:left="-2268"/>
    </w:pPr>
    <w:rPr>
      <w:b/>
    </w:rPr>
  </w:style>
  <w:style w:type="paragraph" w:customStyle="1" w:styleId="Heading1TOC">
    <w:name w:val="Heading1 TOC"/>
    <w:basedOn w:val="Normal"/>
    <w:qFormat/>
    <w:rsid w:val="00500CEE"/>
    <w:pPr>
      <w:spacing w:before="240" w:after="120"/>
    </w:pPr>
    <w:rPr>
      <w:rFonts w:ascii="Times New Roman" w:hAnsi="Times New Roman"/>
      <w:b/>
      <w:sz w:val="32"/>
    </w:rPr>
  </w:style>
  <w:style w:type="paragraph" w:customStyle="1" w:styleId="Heading2TOC">
    <w:name w:val="Heading2 TOC"/>
    <w:basedOn w:val="Normal"/>
    <w:qFormat/>
    <w:rsid w:val="00500CEE"/>
    <w:pPr>
      <w:spacing w:before="240" w:after="60"/>
    </w:pPr>
    <w:rPr>
      <w:rFonts w:ascii="Times New Roman" w:hAnsi="Times New Roman"/>
      <w:b/>
      <w:sz w:val="28"/>
    </w:rPr>
  </w:style>
  <w:style w:type="character" w:customStyle="1" w:styleId="Underline">
    <w:name w:val="Underline"/>
    <w:basedOn w:val="DefaultParagraphFont"/>
    <w:qFormat/>
    <w:rsid w:val="00500CEE"/>
    <w:rPr>
      <w:u w:val="single"/>
    </w:rPr>
  </w:style>
  <w:style w:type="character" w:customStyle="1" w:styleId="BoldandItalics">
    <w:name w:val="Bold and Italics"/>
    <w:qFormat/>
    <w:rsid w:val="00500CEE"/>
    <w:rPr>
      <w:b/>
      <w:i/>
      <w:u w:val="none"/>
    </w:rPr>
  </w:style>
  <w:style w:type="paragraph" w:styleId="BalloonText">
    <w:name w:val="Balloon Text"/>
    <w:basedOn w:val="Normal"/>
    <w:link w:val="BalloonTextChar"/>
    <w:rsid w:val="00500CEE"/>
    <w:rPr>
      <w:rFonts w:ascii="Tahoma" w:hAnsi="Tahoma" w:cs="Tahoma"/>
      <w:sz w:val="16"/>
      <w:szCs w:val="16"/>
    </w:rPr>
  </w:style>
  <w:style w:type="character" w:customStyle="1" w:styleId="BalloonTextChar">
    <w:name w:val="Balloon Text Char"/>
    <w:basedOn w:val="DefaultParagraphFont"/>
    <w:link w:val="BalloonText"/>
    <w:rsid w:val="00500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C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CEE"/>
    <w:rPr>
      <w:b/>
      <w:color w:val="660033"/>
      <w:spacing w:val="0"/>
    </w:rPr>
  </w:style>
  <w:style w:type="paragraph" w:customStyle="1" w:styleId="Nameditemlist">
    <w:name w:val="Named item list"/>
    <w:basedOn w:val="BodyText"/>
    <w:qFormat/>
    <w:rsid w:val="00500CEE"/>
    <w:pPr>
      <w:tabs>
        <w:tab w:val="left" w:pos="2835"/>
      </w:tabs>
      <w:ind w:left="2835" w:hanging="2835"/>
    </w:pPr>
  </w:style>
  <w:style w:type="paragraph" w:customStyle="1" w:styleId="BodyTextnopadding">
    <w:name w:val="Body Text no padding"/>
    <w:basedOn w:val="BodyText"/>
    <w:qFormat/>
    <w:rsid w:val="00500CEE"/>
    <w:pPr>
      <w:spacing w:before="0" w:after="0"/>
    </w:pPr>
  </w:style>
  <w:style w:type="character" w:styleId="Hyperlink">
    <w:name w:val="Hyperlink"/>
    <w:basedOn w:val="DefaultParagraphFont"/>
    <w:uiPriority w:val="99"/>
    <w:unhideWhenUsed/>
    <w:rsid w:val="00E44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4225</Characters>
  <Application>Microsoft Office Word</Application>
  <DocSecurity>0</DocSecurity>
  <Lines>162</Lines>
  <Paragraphs>132</Paragraphs>
  <ScaleCrop>false</ScaleCrop>
  <Company>Author-it Software Corporation Ltd.</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MSF50113 Diploma of Stained Glass and Leadlighting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2019-01-14T22:43:00Z</dcterms:created>
  <dcterms:modified xsi:type="dcterms:W3CDTF">2019-01-14T22:43:00Z</dcterms:modified>
</cp:coreProperties>
</file>