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676" w:rsidP="00306676">
      <w:pPr>
        <w:pStyle w:val="Title"/>
      </w:pPr>
      <w:r>
        <w:fldChar w:fldCharType="begin"/>
      </w:r>
      <w:r>
        <w:instrText xml:space="preserve"> TITLE   \* MERGEFORMAT </w:instrText>
      </w:r>
      <w:r>
        <w:fldChar w:fldCharType="separate"/>
      </w:r>
      <w:r>
        <w:t>MSF31213 Certificate III in Piano Technology</w:t>
      </w:r>
      <w:r>
        <w:fldChar w:fldCharType="end"/>
      </w:r>
    </w:p>
    <w:p w:rsidR="00306676" w:rsidP="00306676">
      <w:pPr>
        <w:pStyle w:val="Version"/>
        <w:sectPr w:rsidSect="008570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570A2" w:rsidP="008570A2">
      <w:pPr>
        <w:pStyle w:val="SuperHeading"/>
      </w:pPr>
      <w:r w:rsidRPr="008570A2">
        <w:t>MSF31213 Certificate III in Piano Technology</w:t>
      </w:r>
    </w:p>
    <w:p w:rsidR="00000000" w:rsidRPr="008570A2" w:rsidP="008570A2">
      <w:pPr>
        <w:pStyle w:val="Heading1"/>
      </w:pPr>
      <w:bookmarkStart w:id="1" w:name="O_1202315"/>
      <w:bookmarkEnd w:id="1"/>
      <w:r w:rsidRPr="008570A2">
        <w:t>Modification History</w:t>
      </w:r>
    </w:p>
    <w:p w:rsidR="00000000" w:rsidRPr="008570A2" w:rsidP="00306676">
      <w:pPr>
        <w:pStyle w:val="List"/>
      </w:pPr>
      <w:r w:rsidRPr="008570A2">
        <w:t>Release 3. Imported units and metadata updated</w:t>
      </w:r>
    </w:p>
    <w:p w:rsidR="00000000" w:rsidRPr="008570A2" w:rsidP="00306676">
      <w:pPr>
        <w:pStyle w:val="List"/>
      </w:pPr>
      <w:r w:rsidRPr="008570A2">
        <w:t>Release 2. Imported units updated.  Equivalent.</w:t>
      </w:r>
    </w:p>
    <w:p w:rsidR="00000000" w:rsidRPr="008570A2" w:rsidP="00306676">
      <w:pPr>
        <w:pStyle w:val="List"/>
      </w:pPr>
      <w:r w:rsidRPr="008570A2">
        <w:t>Release 1. New qualification</w:t>
      </w:r>
    </w:p>
    <w:p w:rsidR="00000000" w:rsidRPr="008570A2" w:rsidP="008570A2">
      <w:pPr>
        <w:pStyle w:val="AllowPageBreak"/>
      </w:pPr>
    </w:p>
    <w:p w:rsidR="00000000" w:rsidRPr="008570A2" w:rsidP="008570A2">
      <w:pPr>
        <w:pStyle w:val="Heading1"/>
      </w:pPr>
      <w:bookmarkStart w:id="2" w:name="O_1202314"/>
      <w:bookmarkEnd w:id="2"/>
      <w:r w:rsidRPr="008570A2">
        <w:t>Qualification Description</w:t>
      </w:r>
    </w:p>
    <w:p w:rsidR="00000000" w:rsidRPr="008570A2" w:rsidP="00306676">
      <w:pPr>
        <w:pStyle w:val="BodyText"/>
      </w:pPr>
      <w:r w:rsidRPr="008570A2">
        <w:t>This qualification describes the skills and knowledge req</w:t>
      </w:r>
      <w:r w:rsidRPr="008570A2">
        <w:t>uired to repair, rebuild, re-pin, re-string and tune upright and grand pianos.</w:t>
      </w:r>
    </w:p>
    <w:p w:rsidR="00000000" w:rsidRPr="008570A2" w:rsidP="00306676">
      <w:pPr>
        <w:pStyle w:val="BodyText"/>
      </w:pPr>
      <w:r w:rsidRPr="008570A2">
        <w:t>Credit can be granted towards this qualification by those who have completed a relevant Certificate II Furnishing qualification, such as MSF20213 Certificate II in Furniture Fi</w:t>
      </w:r>
      <w:r w:rsidRPr="008570A2">
        <w:t>nishing or achieved equivalent industry experience.</w:t>
      </w:r>
    </w:p>
    <w:p w:rsidR="00000000" w:rsidRPr="008570A2" w:rsidP="00306676">
      <w:pPr>
        <w:pStyle w:val="BodyText"/>
      </w:pPr>
      <w:r w:rsidRPr="008570A2">
        <w:t>There are no specific licences that relate to this qualification. However, depending on the jurisdiction, licensing or regulatory requirements may apply to the use of some units in this qualification. Lo</w:t>
      </w:r>
      <w:r w:rsidRPr="008570A2">
        <w:t>cal regulations should be checked for details.</w:t>
      </w:r>
    </w:p>
    <w:p w:rsidR="00000000" w:rsidRPr="008570A2" w:rsidP="008570A2">
      <w:pPr>
        <w:pStyle w:val="Heading1"/>
      </w:pPr>
      <w:bookmarkStart w:id="3" w:name="O_1202313"/>
      <w:bookmarkEnd w:id="3"/>
      <w:r w:rsidRPr="008570A2">
        <w:t>Entry Requirements</w:t>
      </w:r>
    </w:p>
    <w:p w:rsidR="00000000" w:rsidRPr="008570A2" w:rsidP="00306676">
      <w:pPr>
        <w:pStyle w:val="BodyText"/>
      </w:pPr>
      <w:r w:rsidRPr="008570A2">
        <w:t>Not applicable</w:t>
      </w:r>
    </w:p>
    <w:p w:rsidR="00000000" w:rsidRPr="008570A2" w:rsidP="008570A2">
      <w:pPr>
        <w:pStyle w:val="Heading1"/>
      </w:pPr>
      <w:bookmarkStart w:id="4" w:name="O_1202312"/>
      <w:bookmarkEnd w:id="4"/>
      <w:r w:rsidRPr="008570A2">
        <w:t>Packaging Rules</w:t>
      </w:r>
    </w:p>
    <w:p w:rsidR="00000000" w:rsidRPr="008570A2" w:rsidP="00306676">
      <w:pPr>
        <w:pStyle w:val="BodyText"/>
      </w:pPr>
      <w:r w:rsidRPr="008570A2">
        <w:t xml:space="preserve">To be awarded the MSF31213 Certificate III in Piano Technology, competency must be achieved in </w:t>
      </w:r>
      <w:r w:rsidRPr="008570A2">
        <w:rPr>
          <w:rStyle w:val="SpecialBold"/>
        </w:rPr>
        <w:t xml:space="preserve">twenty-five (25) </w:t>
      </w:r>
      <w:r w:rsidRPr="008570A2">
        <w:t xml:space="preserve">units of </w:t>
      </w:r>
      <w:r w:rsidRPr="008570A2">
        <w:t xml:space="preserve">competency. </w:t>
      </w:r>
    </w:p>
    <w:p w:rsidR="00000000" w:rsidRPr="008570A2" w:rsidP="008570A2">
      <w:pPr>
        <w:pStyle w:val="ListBullet"/>
      </w:pPr>
      <w:r w:rsidRPr="008570A2">
        <w:rPr>
          <w:rStyle w:val="SpecialBold"/>
        </w:rPr>
        <w:t xml:space="preserve">five (5) </w:t>
      </w:r>
      <w:r w:rsidRPr="008570A2">
        <w:t>core units of competency</w:t>
      </w:r>
    </w:p>
    <w:p w:rsidR="00000000" w:rsidRPr="008570A2" w:rsidP="008570A2">
      <w:pPr>
        <w:pStyle w:val="ListBullet"/>
      </w:pPr>
      <w:r w:rsidRPr="008570A2">
        <w:rPr>
          <w:rStyle w:val="SpecialBold"/>
        </w:rPr>
        <w:t>twenty (20)</w:t>
      </w:r>
      <w:r w:rsidRPr="008570A2">
        <w:t xml:space="preserve"> elective units of competency.</w:t>
      </w:r>
    </w:p>
    <w:p w:rsidR="00000000" w:rsidRPr="008570A2" w:rsidP="008570A2">
      <w:pPr>
        <w:pStyle w:val="BodyText"/>
      </w:pPr>
    </w:p>
    <w:p w:rsidR="00000000" w:rsidRPr="008570A2" w:rsidP="00306676">
      <w:pPr>
        <w:pStyle w:val="BodyText"/>
      </w:pPr>
      <w:r w:rsidRPr="008570A2">
        <w:t>Note: Units marked with an asterisk have one or more prerequisites and must be considered in the total number of units. Please refer to individual units for details.</w:t>
      </w:r>
    </w:p>
    <w:p w:rsidR="00000000" w:rsidRPr="008570A2" w:rsidP="00306676">
      <w:pPr>
        <w:pStyle w:val="Heading3"/>
      </w:pPr>
      <w:r w:rsidRPr="008570A2">
        <w:rPr>
          <w:rStyle w:val="SpecialBold"/>
        </w:rPr>
        <w:t xml:space="preserve">CORE UNITS </w:t>
      </w:r>
    </w:p>
    <w:p w:rsidR="00000000" w:rsidRPr="008570A2" w:rsidP="00306676">
      <w:pPr>
        <w:pStyle w:val="BodyText"/>
      </w:pPr>
      <w:r w:rsidRPr="008570A2">
        <w:t xml:space="preserve">Complete all </w:t>
      </w:r>
      <w:r w:rsidRPr="008570A2">
        <w:rPr>
          <w:rStyle w:val="SpecialBold"/>
        </w:rPr>
        <w:t>five (5)</w:t>
      </w:r>
      <w:r w:rsidRPr="008570A2">
        <w:t xml:space="preserve"> units from this list.</w:t>
      </w:r>
    </w:p>
    <w:tbl>
      <w:tblPr>
        <w:tblW w:w="0" w:type="auto"/>
        <w:tblLayout w:type="fixed"/>
        <w:tblCellMar>
          <w:left w:w="62" w:type="dxa"/>
          <w:right w:w="62" w:type="dxa"/>
        </w:tblCellMar>
        <w:tblLook w:val="0000"/>
      </w:tblPr>
      <w:tblGrid>
        <w:gridCol w:w="2264"/>
        <w:gridCol w:w="6916"/>
      </w:tblGrid>
      <w:tr w:rsidTr="008570A2">
        <w:tblPrEx>
          <w:tblW w:w="0" w:type="auto"/>
          <w:tblLayout w:type="fixed"/>
          <w:tblCellMar>
            <w:left w:w="62" w:type="dxa"/>
            <w:right w:w="62" w:type="dxa"/>
          </w:tblCellMar>
          <w:tblLook w:val="0000"/>
        </w:tblPrEx>
        <w:trPr>
          <w:tblHeader/>
        </w:trPr>
        <w:tc>
          <w:tcPr>
            <w:tcW w:w="2264" w:type="dxa"/>
            <w:tcBorders>
              <w:top w:val="nil"/>
              <w:left w:val="nil"/>
              <w:bottom w:val="nil"/>
              <w:right w:val="nil"/>
            </w:tcBorders>
            <w:tcMar>
              <w:top w:w="0" w:type="dxa"/>
              <w:left w:w="62" w:type="dxa"/>
              <w:bottom w:w="0" w:type="dxa"/>
              <w:right w:w="62" w:type="dxa"/>
            </w:tcMar>
          </w:tcPr>
          <w:p w:rsidR="00000000" w:rsidRPr="008570A2" w:rsidP="008570A2">
            <w:pPr>
              <w:pStyle w:val="BodyText"/>
            </w:pPr>
            <w:r w:rsidRPr="008570A2">
              <w:rPr>
                <w:rStyle w:val="SpecialBold"/>
              </w:rPr>
              <w:t>Unit code</w:t>
            </w:r>
          </w:p>
        </w:tc>
        <w:tc>
          <w:tcPr>
            <w:tcW w:w="6916"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rPr>
                <w:rStyle w:val="SpecialBold"/>
              </w:rPr>
              <w:t>Unit title</w:t>
            </w:r>
          </w:p>
        </w:tc>
      </w:tr>
      <w:tr w:rsidTr="008570A2">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MSMENV272</w:t>
            </w:r>
          </w:p>
        </w:tc>
        <w:tc>
          <w:tcPr>
            <w:tcW w:w="6916"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 xml:space="preserve">Participate in environmentally sustainable work practices </w:t>
            </w:r>
          </w:p>
        </w:tc>
      </w:tr>
      <w:tr w:rsidTr="008570A2">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MSMWHS200</w:t>
            </w:r>
          </w:p>
        </w:tc>
        <w:tc>
          <w:tcPr>
            <w:tcW w:w="6916"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Work safely</w:t>
            </w:r>
          </w:p>
        </w:tc>
      </w:tr>
      <w:tr w:rsidTr="008570A2">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MSMSUP102</w:t>
            </w:r>
          </w:p>
        </w:tc>
        <w:tc>
          <w:tcPr>
            <w:tcW w:w="6916"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Communicate in the workplace</w:t>
            </w:r>
          </w:p>
        </w:tc>
      </w:tr>
      <w:tr w:rsidTr="008570A2">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MSMSUP106</w:t>
            </w:r>
          </w:p>
        </w:tc>
        <w:tc>
          <w:tcPr>
            <w:tcW w:w="6916"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Work in a team</w:t>
            </w:r>
          </w:p>
        </w:tc>
      </w:tr>
      <w:tr w:rsidTr="008570A2">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MSFGN2001</w:t>
            </w:r>
          </w:p>
        </w:tc>
        <w:tc>
          <w:tcPr>
            <w:tcW w:w="6916" w:type="dxa"/>
            <w:tcBorders>
              <w:top w:val="nil"/>
              <w:left w:val="nil"/>
              <w:bottom w:val="nil"/>
              <w:right w:val="nil"/>
            </w:tcBorders>
            <w:tcMar>
              <w:top w:w="0" w:type="dxa"/>
              <w:left w:w="62" w:type="dxa"/>
              <w:bottom w:w="0" w:type="dxa"/>
              <w:right w:w="62" w:type="dxa"/>
            </w:tcMar>
          </w:tcPr>
          <w:p w:rsidR="00000000" w:rsidRPr="008570A2" w:rsidP="008570A2">
            <w:pPr>
              <w:pStyle w:val="BodyText"/>
            </w:pPr>
            <w:r w:rsidRPr="008570A2">
              <w:t>Make measurements and calculations</w:t>
            </w:r>
          </w:p>
        </w:tc>
      </w:tr>
    </w:tbl>
    <w:p w:rsidR="00000000" w:rsidRPr="008570A2" w:rsidP="008570A2">
      <w:pPr>
        <w:pStyle w:val="BodyText"/>
      </w:pPr>
    </w:p>
    <w:p w:rsidR="00000000" w:rsidRPr="008570A2" w:rsidP="00306676">
      <w:pPr>
        <w:pStyle w:val="Heading3"/>
      </w:pPr>
      <w:r w:rsidRPr="008570A2">
        <w:rPr>
          <w:rStyle w:val="SpecialBold"/>
        </w:rPr>
        <w:t xml:space="preserve">ELECTIVE UNITS </w:t>
      </w:r>
    </w:p>
    <w:p w:rsidR="00000000" w:rsidRPr="008570A2" w:rsidP="00306676">
      <w:pPr>
        <w:pStyle w:val="BodyText"/>
      </w:pPr>
      <w:r w:rsidRPr="008570A2">
        <w:t xml:space="preserve">Select </w:t>
      </w:r>
      <w:r w:rsidRPr="008570A2">
        <w:rPr>
          <w:rStyle w:val="SpecialBold"/>
        </w:rPr>
        <w:t xml:space="preserve">twenty (20) </w:t>
      </w:r>
      <w:r w:rsidRPr="008570A2">
        <w:t>units from Groups A, B and C as specified below.</w:t>
      </w:r>
    </w:p>
    <w:p w:rsidR="00000000" w:rsidRPr="008570A2" w:rsidP="00306676">
      <w:pPr>
        <w:pStyle w:val="Heading4"/>
      </w:pPr>
      <w:r w:rsidRPr="008570A2">
        <w:rPr>
          <w:rStyle w:val="SpecialBold"/>
        </w:rPr>
        <w:t xml:space="preserve">Group A </w:t>
      </w:r>
    </w:p>
    <w:p w:rsidR="00000000" w:rsidRPr="008570A2" w:rsidP="00306676">
      <w:pPr>
        <w:pStyle w:val="BodyText"/>
      </w:pPr>
      <w:r w:rsidRPr="008570A2">
        <w:t xml:space="preserve">Select a minimum of </w:t>
      </w:r>
      <w:r w:rsidRPr="008570A2">
        <w:rPr>
          <w:rStyle w:val="SpecialBold"/>
        </w:rPr>
        <w:t>twelve (12)</w:t>
      </w:r>
      <w:r w:rsidRPr="008570A2">
        <w:t xml:space="preserve"> units from Group A.</w:t>
      </w:r>
    </w:p>
    <w:tbl>
      <w:tblPr>
        <w:tblW w:w="0" w:type="auto"/>
        <w:tblLayout w:type="fixed"/>
        <w:tblCellMar>
          <w:left w:w="62" w:type="dxa"/>
          <w:right w:w="62" w:type="dxa"/>
        </w:tblCellMar>
        <w:tblLook w:val="0000"/>
      </w:tblPr>
      <w:tblGrid>
        <w:gridCol w:w="2160"/>
        <w:gridCol w:w="5490"/>
        <w:gridCol w:w="1530"/>
      </w:tblGrid>
      <w:tr w:rsidTr="008570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570A2" w:rsidP="008570A2">
            <w:pPr>
              <w:pStyle w:val="BodyText"/>
            </w:pPr>
            <w:r w:rsidRPr="008570A2">
              <w:rPr>
                <w:rStyle w:val="SpecialBold"/>
              </w:rPr>
              <w:t>Unit code</w:t>
            </w:r>
          </w:p>
        </w:tc>
        <w:tc>
          <w:tcPr>
            <w:tcW w:w="5490" w:type="dxa"/>
            <w:tcBorders>
              <w:top w:val="nil"/>
              <w:left w:val="nil"/>
              <w:bottom w:val="nil"/>
              <w:right w:val="nil"/>
            </w:tcBorders>
            <w:tcMar>
              <w:top w:w="0" w:type="dxa"/>
              <w:left w:w="62" w:type="dxa"/>
              <w:bottom w:w="0" w:type="dxa"/>
              <w:right w:w="62" w:type="dxa"/>
            </w:tcMar>
          </w:tcPr>
          <w:p w:rsidR="00000000" w:rsidRPr="008570A2" w:rsidP="008570A2">
            <w:pPr>
              <w:pStyle w:val="BodyText"/>
            </w:pPr>
            <w:r w:rsidRPr="008570A2">
              <w:rPr>
                <w:rStyle w:val="SpecialBold"/>
              </w:rPr>
              <w:t>Unit title</w:t>
            </w:r>
          </w:p>
        </w:tc>
        <w:tc>
          <w:tcPr>
            <w:tcW w:w="153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rPr>
                <w:rStyle w:val="SpecialBold"/>
              </w:rPr>
              <w:t>Prerequisites</w:t>
            </w:r>
          </w:p>
        </w:tc>
      </w:tr>
      <w:tr w:rsidTr="008570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MSFPT3001</w:t>
            </w:r>
          </w:p>
        </w:tc>
        <w:tc>
          <w:tcPr>
            <w:tcW w:w="549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Apply piano industry knowledge and work techniques</w:t>
            </w:r>
          </w:p>
        </w:tc>
        <w:tc>
          <w:tcPr>
            <w:tcW w:w="153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p>
        </w:tc>
      </w:tr>
      <w:tr w:rsidTr="008570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MSFPT3002</w:t>
            </w:r>
          </w:p>
        </w:tc>
        <w:tc>
          <w:tcPr>
            <w:tcW w:w="549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Select materials for piano actions and key repairs</w:t>
            </w:r>
          </w:p>
        </w:tc>
        <w:tc>
          <w:tcPr>
            <w:tcW w:w="153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p>
        </w:tc>
      </w:tr>
      <w:tr w:rsidTr="008570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MSFPT3003</w:t>
            </w:r>
          </w:p>
        </w:tc>
        <w:tc>
          <w:tcPr>
            <w:tcW w:w="549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Repair upright and grand piano actions, keys and pedals</w:t>
            </w:r>
          </w:p>
        </w:tc>
        <w:tc>
          <w:tcPr>
            <w:tcW w:w="153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p>
        </w:tc>
      </w:tr>
      <w:tr w:rsidTr="008570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MSFPT3004</w:t>
            </w:r>
          </w:p>
        </w:tc>
        <w:tc>
          <w:tcPr>
            <w:tcW w:w="549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Rebuild upright and grand piano actions, keys and pedals</w:t>
            </w:r>
          </w:p>
        </w:tc>
        <w:tc>
          <w:tcPr>
            <w:tcW w:w="153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p>
        </w:tc>
      </w:tr>
      <w:tr w:rsidTr="008570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w:t>
            </w:r>
            <w:r w:rsidRPr="008570A2">
              <w:t>PT3005</w:t>
            </w:r>
          </w:p>
        </w:tc>
        <w:tc>
          <w:tcPr>
            <w:tcW w:w="549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Re-string and re-pin a piano</w:t>
            </w:r>
          </w:p>
        </w:tc>
        <w:tc>
          <w:tcPr>
            <w:tcW w:w="153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p>
        </w:tc>
      </w:tr>
      <w:tr w:rsidTr="008570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MSFPT3006</w:t>
            </w:r>
          </w:p>
        </w:tc>
        <w:tc>
          <w:tcPr>
            <w:tcW w:w="549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Regulate actions, keys and pedals of upright pianos</w:t>
            </w:r>
          </w:p>
        </w:tc>
        <w:tc>
          <w:tcPr>
            <w:tcW w:w="153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p>
        </w:tc>
      </w:tr>
      <w:tr w:rsidTr="008570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MSFPT3007</w:t>
            </w:r>
          </w:p>
        </w:tc>
        <w:tc>
          <w:tcPr>
            <w:tcW w:w="549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Regulate actions, keys and pedals of grand pianos</w:t>
            </w:r>
          </w:p>
        </w:tc>
        <w:tc>
          <w:tcPr>
            <w:tcW w:w="153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p>
        </w:tc>
      </w:tr>
      <w:tr w:rsidTr="008570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MSFPT3008</w:t>
            </w:r>
          </w:p>
        </w:tc>
        <w:tc>
          <w:tcPr>
            <w:tcW w:w="549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Apply piano tuning theory and basic acoustics</w:t>
            </w:r>
          </w:p>
        </w:tc>
        <w:tc>
          <w:tcPr>
            <w:tcW w:w="153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p>
        </w:tc>
      </w:tr>
      <w:tr w:rsidTr="008570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MSFPT3009</w:t>
            </w:r>
          </w:p>
        </w:tc>
        <w:tc>
          <w:tcPr>
            <w:tcW w:w="549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Develop control of tuning hammers</w:t>
            </w:r>
          </w:p>
        </w:tc>
        <w:tc>
          <w:tcPr>
            <w:tcW w:w="153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p>
        </w:tc>
      </w:tr>
      <w:tr w:rsidTr="008570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MSFPT3010</w:t>
            </w:r>
          </w:p>
        </w:tc>
        <w:tc>
          <w:tcPr>
            <w:tcW w:w="549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Pitch raise a piano</w:t>
            </w:r>
          </w:p>
        </w:tc>
        <w:tc>
          <w:tcPr>
            <w:tcW w:w="153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p>
        </w:tc>
      </w:tr>
      <w:tr w:rsidTr="008570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MSFPT3011</w:t>
            </w:r>
          </w:p>
        </w:tc>
        <w:tc>
          <w:tcPr>
            <w:tcW w:w="549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Tune unisons aurally to a beatless condition</w:t>
            </w:r>
          </w:p>
        </w:tc>
        <w:tc>
          <w:tcPr>
            <w:tcW w:w="153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p>
        </w:tc>
      </w:tr>
      <w:tr w:rsidTr="008570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MSFPT3012</w:t>
            </w:r>
          </w:p>
        </w:tc>
        <w:tc>
          <w:tcPr>
            <w:tcW w:w="549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Tune octaves aurally to appropriate stretch</w:t>
            </w:r>
          </w:p>
        </w:tc>
        <w:tc>
          <w:tcPr>
            <w:tcW w:w="153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p>
        </w:tc>
      </w:tr>
      <w:tr w:rsidTr="008570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MSFPT3013</w:t>
            </w:r>
          </w:p>
        </w:tc>
        <w:tc>
          <w:tcPr>
            <w:tcW w:w="549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Tune a temperament octave to produce an equally tempered scale</w:t>
            </w:r>
          </w:p>
        </w:tc>
        <w:tc>
          <w:tcPr>
            <w:tcW w:w="153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p>
        </w:tc>
      </w:tr>
      <w:tr w:rsidTr="008570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MSFPT3014</w:t>
            </w:r>
          </w:p>
        </w:tc>
        <w:tc>
          <w:tcPr>
            <w:tcW w:w="549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Tune a piano aurally and electronically within time and accuracy constraints</w:t>
            </w:r>
          </w:p>
        </w:tc>
        <w:tc>
          <w:tcPr>
            <w:tcW w:w="153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w:t>
            </w:r>
          </w:p>
        </w:tc>
      </w:tr>
      <w:tr w:rsidTr="008570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MSFPT3015</w:t>
            </w:r>
          </w:p>
        </w:tc>
        <w:tc>
          <w:tcPr>
            <w:tcW w:w="549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Voice a piano</w:t>
            </w:r>
          </w:p>
        </w:tc>
        <w:tc>
          <w:tcPr>
            <w:tcW w:w="153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p>
        </w:tc>
      </w:tr>
      <w:tr w:rsidTr="008570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MSFPT3016</w:t>
            </w:r>
          </w:p>
        </w:tc>
        <w:tc>
          <w:tcPr>
            <w:tcW w:w="5490"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Provide advice to customers on piano tuning and repairs</w:t>
            </w:r>
          </w:p>
        </w:tc>
        <w:tc>
          <w:tcPr>
            <w:tcW w:w="1530" w:type="dxa"/>
            <w:tcBorders>
              <w:top w:val="nil"/>
              <w:left w:val="nil"/>
              <w:bottom w:val="nil"/>
              <w:right w:val="nil"/>
            </w:tcBorders>
            <w:tcMar>
              <w:top w:w="0" w:type="dxa"/>
              <w:left w:w="62" w:type="dxa"/>
              <w:bottom w:w="0" w:type="dxa"/>
              <w:right w:w="62" w:type="dxa"/>
            </w:tcMar>
          </w:tcPr>
          <w:p w:rsidR="00000000" w:rsidRPr="008570A2" w:rsidP="008570A2">
            <w:pPr>
              <w:pStyle w:val="BodyText"/>
            </w:pPr>
          </w:p>
        </w:tc>
      </w:tr>
    </w:tbl>
    <w:p w:rsidR="00000000" w:rsidRPr="008570A2" w:rsidP="008570A2">
      <w:pPr>
        <w:pStyle w:val="BodyText"/>
      </w:pPr>
    </w:p>
    <w:p w:rsidR="00000000" w:rsidRPr="008570A2" w:rsidP="00306676">
      <w:pPr>
        <w:pStyle w:val="Heading4"/>
      </w:pPr>
      <w:r w:rsidRPr="008570A2">
        <w:rPr>
          <w:rStyle w:val="SpecialBold"/>
        </w:rPr>
        <w:t>Group B</w:t>
      </w:r>
    </w:p>
    <w:p w:rsidR="00000000" w:rsidRPr="008570A2" w:rsidP="00306676">
      <w:pPr>
        <w:pStyle w:val="BodyText"/>
      </w:pPr>
      <w:r w:rsidRPr="008570A2">
        <w:t xml:space="preserve">Select a minimum of </w:t>
      </w:r>
      <w:r w:rsidRPr="008570A2">
        <w:rPr>
          <w:rStyle w:val="SpecialBold"/>
        </w:rPr>
        <w:t>three (3)</w:t>
      </w:r>
      <w:r w:rsidRPr="008570A2">
        <w:t xml:space="preserve"> units from Group B.</w:t>
      </w:r>
    </w:p>
    <w:tbl>
      <w:tblPr>
        <w:tblW w:w="0" w:type="auto"/>
        <w:tblLayout w:type="fixed"/>
        <w:tblCellMar>
          <w:left w:w="62" w:type="dxa"/>
          <w:right w:w="62" w:type="dxa"/>
        </w:tblCellMar>
        <w:tblLook w:val="0000"/>
      </w:tblPr>
      <w:tblGrid>
        <w:gridCol w:w="2361"/>
        <w:gridCol w:w="6729"/>
      </w:tblGrid>
      <w:tr w:rsidTr="008570A2">
        <w:tblPrEx>
          <w:tblW w:w="0" w:type="auto"/>
          <w:tblLayout w:type="fixed"/>
          <w:tblCellMar>
            <w:left w:w="62" w:type="dxa"/>
            <w:right w:w="62" w:type="dxa"/>
          </w:tblCellMar>
          <w:tblLook w:val="0000"/>
        </w:tblPrEx>
        <w:trPr>
          <w:tblHeader/>
        </w:trPr>
        <w:tc>
          <w:tcPr>
            <w:tcW w:w="2361" w:type="dxa"/>
            <w:tcBorders>
              <w:top w:val="nil"/>
              <w:left w:val="nil"/>
              <w:bottom w:val="nil"/>
              <w:right w:val="nil"/>
            </w:tcBorders>
            <w:tcMar>
              <w:top w:w="0" w:type="dxa"/>
              <w:left w:w="62" w:type="dxa"/>
              <w:bottom w:w="0" w:type="dxa"/>
              <w:right w:w="62" w:type="dxa"/>
            </w:tcMar>
          </w:tcPr>
          <w:p w:rsidR="00000000" w:rsidRPr="008570A2" w:rsidP="008570A2">
            <w:pPr>
              <w:pStyle w:val="BodyText"/>
            </w:pPr>
            <w:r w:rsidRPr="008570A2">
              <w:rPr>
                <w:rStyle w:val="SpecialBold"/>
              </w:rPr>
              <w:t>Unit code</w:t>
            </w:r>
          </w:p>
        </w:tc>
        <w:tc>
          <w:tcPr>
            <w:tcW w:w="6729"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rPr>
                <w:rStyle w:val="SpecialBold"/>
              </w:rPr>
              <w:t>Unit title</w:t>
            </w:r>
          </w:p>
        </w:tc>
      </w:tr>
      <w:tr w:rsidTr="008570A2">
        <w:tblPrEx>
          <w:tblW w:w="0" w:type="auto"/>
          <w:tblLayout w:type="fixed"/>
          <w:tblCellMar>
            <w:left w:w="62" w:type="dxa"/>
            <w:right w:w="62" w:type="dxa"/>
          </w:tblCellMar>
          <w:tblLook w:val="0000"/>
        </w:tblPrEx>
        <w:tc>
          <w:tcPr>
            <w:tcW w:w="2361"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MSFFF2008</w:t>
            </w:r>
          </w:p>
        </w:tc>
        <w:tc>
          <w:tcPr>
            <w:tcW w:w="6729"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Apply surface coatings by hand</w:t>
            </w:r>
          </w:p>
        </w:tc>
      </w:tr>
      <w:tr w:rsidTr="008570A2">
        <w:tblPrEx>
          <w:tblW w:w="0" w:type="auto"/>
          <w:tblLayout w:type="fixed"/>
          <w:tblCellMar>
            <w:left w:w="62" w:type="dxa"/>
            <w:right w:w="62" w:type="dxa"/>
          </w:tblCellMar>
          <w:tblLook w:val="0000"/>
        </w:tblPrEx>
        <w:tc>
          <w:tcPr>
            <w:tcW w:w="2361"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MSFFF3005</w:t>
            </w:r>
          </w:p>
        </w:tc>
        <w:tc>
          <w:tcPr>
            <w:tcW w:w="6729"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Enhance finishes</w:t>
            </w:r>
          </w:p>
        </w:tc>
      </w:tr>
      <w:tr w:rsidTr="008570A2">
        <w:tblPrEx>
          <w:tblW w:w="0" w:type="auto"/>
          <w:tblLayout w:type="fixed"/>
          <w:tblCellMar>
            <w:left w:w="62" w:type="dxa"/>
            <w:right w:w="62" w:type="dxa"/>
          </w:tblCellMar>
          <w:tblLook w:val="0000"/>
        </w:tblPrEx>
        <w:tc>
          <w:tcPr>
            <w:tcW w:w="2361"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MSFFF3006</w:t>
            </w:r>
          </w:p>
        </w:tc>
        <w:tc>
          <w:tcPr>
            <w:tcW w:w="6729"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Repair and touch up surfaces</w:t>
            </w:r>
          </w:p>
        </w:tc>
      </w:tr>
      <w:tr w:rsidTr="008570A2">
        <w:tblPrEx>
          <w:tblW w:w="0" w:type="auto"/>
          <w:tblLayout w:type="fixed"/>
          <w:tblCellMar>
            <w:left w:w="62" w:type="dxa"/>
            <w:right w:w="62" w:type="dxa"/>
          </w:tblCellMar>
          <w:tblLook w:val="0000"/>
        </w:tblPrEx>
        <w:tc>
          <w:tcPr>
            <w:tcW w:w="2361"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MSFFF3008</w:t>
            </w:r>
          </w:p>
        </w:tc>
        <w:tc>
          <w:tcPr>
            <w:tcW w:w="6729"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Apply traditional French polishing techniques</w:t>
            </w:r>
          </w:p>
        </w:tc>
      </w:tr>
      <w:tr w:rsidTr="008570A2">
        <w:tblPrEx>
          <w:tblW w:w="0" w:type="auto"/>
          <w:tblLayout w:type="fixed"/>
          <w:tblCellMar>
            <w:left w:w="62" w:type="dxa"/>
            <w:right w:w="62" w:type="dxa"/>
          </w:tblCellMar>
          <w:tblLook w:val="0000"/>
        </w:tblPrEx>
        <w:tc>
          <w:tcPr>
            <w:tcW w:w="2361"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MSFFM2002</w:t>
            </w:r>
          </w:p>
        </w:tc>
        <w:tc>
          <w:tcPr>
            <w:tcW w:w="6729"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Assemble furnishing components</w:t>
            </w:r>
          </w:p>
        </w:tc>
      </w:tr>
      <w:tr w:rsidTr="008570A2">
        <w:tblPrEx>
          <w:tblW w:w="0" w:type="auto"/>
          <w:tblLayout w:type="fixed"/>
          <w:tblCellMar>
            <w:left w:w="62" w:type="dxa"/>
            <w:right w:w="62" w:type="dxa"/>
          </w:tblCellMar>
          <w:tblLook w:val="0000"/>
        </w:tblPrEx>
        <w:tc>
          <w:tcPr>
            <w:tcW w:w="2361"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MSFFM2006</w:t>
            </w:r>
          </w:p>
        </w:tc>
        <w:tc>
          <w:tcPr>
            <w:tcW w:w="6729"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Hand make timber joints</w:t>
            </w:r>
          </w:p>
        </w:tc>
      </w:tr>
      <w:tr w:rsidTr="008570A2">
        <w:tblPrEx>
          <w:tblW w:w="0" w:type="auto"/>
          <w:tblLayout w:type="fixed"/>
          <w:tblCellMar>
            <w:left w:w="62" w:type="dxa"/>
            <w:right w:w="62" w:type="dxa"/>
          </w:tblCellMar>
          <w:tblLook w:val="0000"/>
        </w:tblPrEx>
        <w:tc>
          <w:tcPr>
            <w:tcW w:w="2361"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MSFFM2010</w:t>
            </w:r>
          </w:p>
        </w:tc>
        <w:tc>
          <w:tcPr>
            <w:tcW w:w="6729"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Set up, operate and maintain basic static machines</w:t>
            </w:r>
          </w:p>
        </w:tc>
      </w:tr>
      <w:tr w:rsidTr="008570A2">
        <w:tblPrEx>
          <w:tblW w:w="0" w:type="auto"/>
          <w:tblLayout w:type="fixed"/>
          <w:tblCellMar>
            <w:left w:w="62" w:type="dxa"/>
            <w:right w:w="62" w:type="dxa"/>
          </w:tblCellMar>
          <w:tblLook w:val="0000"/>
        </w:tblPrEx>
        <w:tc>
          <w:tcPr>
            <w:tcW w:w="2361"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MSFGN2002</w:t>
            </w:r>
          </w:p>
        </w:tc>
        <w:tc>
          <w:tcPr>
            <w:tcW w:w="6729"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Move and store materials and products</w:t>
            </w:r>
          </w:p>
        </w:tc>
      </w:tr>
      <w:tr w:rsidTr="008570A2">
        <w:tblPrEx>
          <w:tblW w:w="0" w:type="auto"/>
          <w:tblLayout w:type="fixed"/>
          <w:tblCellMar>
            <w:left w:w="62" w:type="dxa"/>
            <w:right w:w="62" w:type="dxa"/>
          </w:tblCellMar>
          <w:tblLook w:val="0000"/>
        </w:tblPrEx>
        <w:tc>
          <w:tcPr>
            <w:tcW w:w="2361"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MSFGN3001</w:t>
            </w:r>
          </w:p>
        </w:tc>
        <w:tc>
          <w:tcPr>
            <w:tcW w:w="6729"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Read and interpret work documents</w:t>
            </w:r>
          </w:p>
        </w:tc>
      </w:tr>
      <w:tr w:rsidTr="008570A2">
        <w:tblPrEx>
          <w:tblW w:w="0" w:type="auto"/>
          <w:tblLayout w:type="fixed"/>
          <w:tblCellMar>
            <w:left w:w="62" w:type="dxa"/>
            <w:right w:w="62" w:type="dxa"/>
          </w:tblCellMar>
          <w:tblLook w:val="0000"/>
        </w:tblPrEx>
        <w:tc>
          <w:tcPr>
            <w:tcW w:w="2361"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MSFGN3002</w:t>
            </w:r>
          </w:p>
        </w:tc>
        <w:tc>
          <w:tcPr>
            <w:tcW w:w="6729"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Estimate and cost job</w:t>
            </w:r>
          </w:p>
        </w:tc>
      </w:tr>
      <w:tr w:rsidTr="008570A2">
        <w:tblPrEx>
          <w:tblW w:w="0" w:type="auto"/>
          <w:tblLayout w:type="fixed"/>
          <w:tblCellMar>
            <w:left w:w="62" w:type="dxa"/>
            <w:right w:w="62" w:type="dxa"/>
          </w:tblCellMar>
          <w:tblLook w:val="0000"/>
        </w:tblPrEx>
        <w:tc>
          <w:tcPr>
            <w:tcW w:w="2361"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 xml:space="preserve">TLID0019 </w:t>
            </w:r>
          </w:p>
        </w:tc>
        <w:tc>
          <w:tcPr>
            <w:tcW w:w="6729"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Shift loads using manually-operated equipment</w:t>
            </w:r>
          </w:p>
        </w:tc>
      </w:tr>
      <w:tr w:rsidTr="008570A2">
        <w:tblPrEx>
          <w:tblW w:w="0" w:type="auto"/>
          <w:tblLayout w:type="fixed"/>
          <w:tblCellMar>
            <w:left w:w="62" w:type="dxa"/>
            <w:right w:w="62" w:type="dxa"/>
          </w:tblCellMar>
          <w:tblLook w:val="0000"/>
        </w:tblPrEx>
        <w:tc>
          <w:tcPr>
            <w:tcW w:w="2361" w:type="dxa"/>
            <w:tcBorders>
              <w:top w:val="nil"/>
              <w:left w:val="nil"/>
              <w:bottom w:val="nil"/>
              <w:right w:val="nil"/>
            </w:tcBorders>
            <w:tcMar>
              <w:top w:w="0" w:type="dxa"/>
              <w:left w:w="62" w:type="dxa"/>
              <w:bottom w:w="0" w:type="dxa"/>
              <w:right w:w="62" w:type="dxa"/>
            </w:tcMar>
          </w:tcPr>
          <w:p w:rsidR="00000000" w:rsidP="008570A2">
            <w:pPr>
              <w:pStyle w:val="BodyText"/>
              <w:rPr>
                <w:lang w:val="en-NZ"/>
              </w:rPr>
            </w:pPr>
            <w:r w:rsidRPr="008570A2">
              <w:t>TLID0021</w:t>
            </w:r>
          </w:p>
        </w:tc>
        <w:tc>
          <w:tcPr>
            <w:tcW w:w="6729" w:type="dxa"/>
            <w:tcBorders>
              <w:top w:val="nil"/>
              <w:left w:val="nil"/>
              <w:bottom w:val="nil"/>
              <w:right w:val="nil"/>
            </w:tcBorders>
            <w:tcMar>
              <w:top w:w="0" w:type="dxa"/>
              <w:left w:w="62" w:type="dxa"/>
              <w:bottom w:w="0" w:type="dxa"/>
              <w:right w:w="62" w:type="dxa"/>
            </w:tcMar>
          </w:tcPr>
          <w:p w:rsidR="00000000" w:rsidRPr="008570A2" w:rsidP="008570A2">
            <w:pPr>
              <w:pStyle w:val="BodyText"/>
            </w:pPr>
            <w:r w:rsidRPr="008570A2">
              <w:t xml:space="preserve"> </w:t>
            </w:r>
            <w:r w:rsidRPr="008570A2">
              <w:t>Store and handle dangerous goods and hazardous substances</w:t>
            </w:r>
          </w:p>
        </w:tc>
      </w:tr>
    </w:tbl>
    <w:p w:rsidR="00000000" w:rsidRPr="008570A2" w:rsidP="008570A2">
      <w:pPr>
        <w:pStyle w:val="BodyText"/>
      </w:pPr>
    </w:p>
    <w:p w:rsidR="00000000" w:rsidRPr="008570A2" w:rsidP="00306676">
      <w:pPr>
        <w:pStyle w:val="Heading4"/>
      </w:pPr>
      <w:r w:rsidRPr="008570A2">
        <w:rPr>
          <w:rStyle w:val="SpecialBold"/>
        </w:rPr>
        <w:t>Group C</w:t>
      </w:r>
    </w:p>
    <w:p w:rsidR="00000000" w:rsidRPr="008570A2" w:rsidP="00306676">
      <w:pPr>
        <w:pStyle w:val="BodyText"/>
      </w:pPr>
      <w:r w:rsidRPr="008570A2">
        <w:t xml:space="preserve">Up to </w:t>
      </w:r>
      <w:r w:rsidRPr="008570A2">
        <w:rPr>
          <w:rStyle w:val="SpecialBold"/>
        </w:rPr>
        <w:t>five (5)</w:t>
      </w:r>
      <w:r w:rsidRPr="008570A2">
        <w:t xml:space="preserve"> relevant units may be chosen from units not already selected from Groups A and B or units available in this Training Package or other endorsed Training Packages and accredit</w:t>
      </w:r>
      <w:r w:rsidRPr="008570A2">
        <w:t>ed courses. Those units must be aligned at Certificate II level (maximum 2 units), Certificate III level (maximum 5 units) or Certificate IV level (maximum 2 units).</w:t>
      </w:r>
    </w:p>
    <w:p w:rsidR="00000000" w:rsidRPr="008570A2" w:rsidP="00306676">
      <w:pPr>
        <w:pStyle w:val="BodyText"/>
      </w:pPr>
      <w:r w:rsidRPr="008570A2">
        <w:t>Units selected from other Training Packages and accredited courses via Group C must be relevant to the qualification outcome and not duplicate units available within this qualification.</w:t>
      </w:r>
    </w:p>
    <w:p w:rsidR="00000000" w:rsidRPr="008570A2" w:rsidP="008570A2">
      <w:pPr>
        <w:pStyle w:val="Heading1"/>
      </w:pPr>
      <w:bookmarkStart w:id="5" w:name="O_1202311"/>
      <w:bookmarkEnd w:id="5"/>
      <w:r w:rsidRPr="008570A2">
        <w:t>Qualification Mapping Information</w:t>
      </w:r>
    </w:p>
    <w:p w:rsidR="00000000" w:rsidRPr="008570A2" w:rsidP="00306676">
      <w:pPr>
        <w:pStyle w:val="BodyText"/>
      </w:pPr>
      <w:r w:rsidRPr="008570A2">
        <w:t>Supersedes and is</w:t>
      </w:r>
      <w:r w:rsidRPr="008570A2">
        <w:t xml:space="preserve"> based on LMF31508 Certificate III in Piano Technology. Outcomes are equivalent.</w:t>
      </w:r>
    </w:p>
    <w:p w:rsidR="00000000" w:rsidRPr="008570A2" w:rsidP="008570A2">
      <w:pPr>
        <w:pStyle w:val="Heading1"/>
      </w:pPr>
      <w:bookmarkStart w:id="6" w:name="O_1202316"/>
      <w:bookmarkEnd w:id="6"/>
      <w:r w:rsidRPr="008570A2">
        <w:t>Links</w:t>
      </w:r>
    </w:p>
    <w:p w:rsidR="00000000" w:rsidRPr="008570A2" w:rsidP="00306676">
      <w:pPr>
        <w:pStyle w:val="BodyText"/>
      </w:pPr>
      <w:r w:rsidRPr="008570A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253D5">
        <w:rPr>
          <w:rStyle w:val="Hyperlink"/>
        </w:rPr>
        <w:t>https://vetnet.gov.au/Pages/TrainingDocs.aspx?q=0601ab95-583a-4e93-b2d4-cfb27b03ed73</w:t>
      </w:r>
      <w:r>
        <w:fldChar w:fldCharType="end"/>
      </w:r>
    </w:p>
    <w:p w:rsidR="00000000" w:rsidRPr="008570A2" w:rsidP="008570A2"/>
    <w:sectPr w:rsidSect="008570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0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0A2" w:rsidRPr="00306676" w:rsidP="003066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0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676" w:rsidP="008570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06676" w:rsidP="008570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6676" w:rsidP="008570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0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6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70A2" w:rsidRPr="00306676" w:rsidP="003066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0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676" w:rsidRPr="002D2AF8" w:rsidP="008570A2">
    <w:pPr>
      <w:pStyle w:val="Header"/>
      <w:framePr w:wrap="around"/>
    </w:pPr>
    <w:r>
      <w:fldChar w:fldCharType="begin"/>
    </w:r>
    <w:r>
      <w:instrText xml:space="preserve"> TITLE   \* MERGEFORMAT </w:instrText>
    </w:r>
    <w:r>
      <w:fldChar w:fldCharType="separate"/>
    </w:r>
    <w:r>
      <w:t>MSF31213 Certificate III in Piano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306676" w:rsidP="008570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96E3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3E01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0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70A2"/>
    <w:pPr>
      <w:spacing w:before="360" w:after="60"/>
      <w:outlineLvl w:val="0"/>
    </w:pPr>
    <w:rPr>
      <w:sz w:val="32"/>
    </w:rPr>
  </w:style>
  <w:style w:type="paragraph" w:styleId="Heading2">
    <w:name w:val="heading 2"/>
    <w:basedOn w:val="HeadingBase"/>
    <w:next w:val="BodyText"/>
    <w:link w:val="Heading2Char"/>
    <w:qFormat/>
    <w:rsid w:val="008570A2"/>
    <w:pPr>
      <w:keepLines/>
      <w:spacing w:before="240" w:after="120"/>
      <w:outlineLvl w:val="1"/>
    </w:pPr>
    <w:rPr>
      <w:sz w:val="28"/>
      <w:szCs w:val="40"/>
    </w:rPr>
  </w:style>
  <w:style w:type="paragraph" w:styleId="Heading3">
    <w:name w:val="heading 3"/>
    <w:basedOn w:val="HeadingBase"/>
    <w:next w:val="BodyText"/>
    <w:link w:val="Heading3Char"/>
    <w:qFormat/>
    <w:rsid w:val="008570A2"/>
    <w:pPr>
      <w:spacing w:before="180" w:after="120"/>
      <w:outlineLvl w:val="2"/>
    </w:pPr>
    <w:rPr>
      <w:spacing w:val="-10"/>
      <w:kern w:val="32"/>
    </w:rPr>
  </w:style>
  <w:style w:type="paragraph" w:styleId="Heading4">
    <w:name w:val="heading 4"/>
    <w:basedOn w:val="HeadingBase"/>
    <w:next w:val="BodyText"/>
    <w:link w:val="Heading4Char"/>
    <w:qFormat/>
    <w:rsid w:val="008570A2"/>
    <w:pPr>
      <w:spacing w:before="160" w:after="120"/>
      <w:outlineLvl w:val="3"/>
    </w:pPr>
    <w:rPr>
      <w:sz w:val="22"/>
    </w:rPr>
  </w:style>
  <w:style w:type="paragraph" w:styleId="Heading5">
    <w:name w:val="heading 5"/>
    <w:basedOn w:val="HeadingBase"/>
    <w:next w:val="Normal"/>
    <w:link w:val="Heading5Char"/>
    <w:qFormat/>
    <w:rsid w:val="008570A2"/>
    <w:pPr>
      <w:spacing w:before="80"/>
      <w:outlineLvl w:val="4"/>
    </w:pPr>
    <w:rPr>
      <w:color w:val="918585"/>
      <w:sz w:val="20"/>
    </w:rPr>
  </w:style>
  <w:style w:type="paragraph" w:styleId="Heading6">
    <w:name w:val="heading 6"/>
    <w:basedOn w:val="HeadingBase"/>
    <w:next w:val="Normal"/>
    <w:link w:val="Heading6Char"/>
    <w:qFormat/>
    <w:rsid w:val="008570A2"/>
    <w:pPr>
      <w:spacing w:before="60"/>
      <w:outlineLvl w:val="5"/>
    </w:pPr>
    <w:rPr>
      <w:color w:val="918585"/>
      <w:sz w:val="20"/>
    </w:rPr>
  </w:style>
  <w:style w:type="paragraph" w:styleId="Heading7">
    <w:name w:val="heading 7"/>
    <w:basedOn w:val="Normal"/>
    <w:next w:val="Normal"/>
    <w:link w:val="Heading7Char"/>
    <w:qFormat/>
    <w:rsid w:val="008570A2"/>
    <w:pPr>
      <w:ind w:left="720"/>
      <w:outlineLvl w:val="6"/>
    </w:pPr>
    <w:rPr>
      <w:i/>
    </w:rPr>
  </w:style>
  <w:style w:type="paragraph" w:styleId="Heading8">
    <w:name w:val="heading 8"/>
    <w:basedOn w:val="Normal"/>
    <w:next w:val="Normal"/>
    <w:link w:val="Heading8Char"/>
    <w:qFormat/>
    <w:rsid w:val="008570A2"/>
    <w:pPr>
      <w:ind w:left="720"/>
      <w:outlineLvl w:val="7"/>
    </w:pPr>
    <w:rPr>
      <w:i/>
    </w:rPr>
  </w:style>
  <w:style w:type="paragraph" w:styleId="Heading9">
    <w:name w:val="heading 9"/>
    <w:basedOn w:val="Normal"/>
    <w:next w:val="Normal"/>
    <w:link w:val="Heading9Char"/>
    <w:qFormat/>
    <w:rsid w:val="008570A2"/>
    <w:pPr>
      <w:ind w:left="720"/>
      <w:outlineLvl w:val="8"/>
    </w:pPr>
    <w:rPr>
      <w:i/>
    </w:rPr>
  </w:style>
  <w:style w:type="character" w:default="1" w:styleId="DefaultParagraphFont">
    <w:name w:val="Default Paragraph Font"/>
    <w:uiPriority w:val="1"/>
    <w:unhideWhenUsed/>
    <w:rsid w:val="008570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0A2"/>
  </w:style>
  <w:style w:type="character" w:customStyle="1" w:styleId="Heading1Char">
    <w:name w:val="Heading 1 Char"/>
    <w:basedOn w:val="DefaultParagraphFont"/>
    <w:link w:val="Heading1"/>
    <w:rsid w:val="008570A2"/>
    <w:rPr>
      <w:rFonts w:ascii="Times New Roman" w:eastAsia="Times New Roman" w:hAnsi="Times New Roman" w:cs="Times New Roman"/>
      <w:b/>
      <w:sz w:val="32"/>
      <w:szCs w:val="20"/>
      <w:lang w:eastAsia="en-US"/>
    </w:rPr>
  </w:style>
  <w:style w:type="paragraph" w:styleId="BodyText">
    <w:name w:val="Body Text"/>
    <w:basedOn w:val="Normal"/>
    <w:link w:val="BodyTextChar"/>
    <w:rsid w:val="008570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70A2"/>
    <w:rPr>
      <w:rFonts w:ascii="Times New Roman" w:eastAsia="Times New Roman" w:hAnsi="Times New Roman" w:cs="Times New Roman"/>
      <w:sz w:val="24"/>
      <w:lang w:eastAsia="en-US"/>
    </w:rPr>
  </w:style>
  <w:style w:type="paragraph" w:styleId="ListBullet">
    <w:name w:val="List Bullet"/>
    <w:basedOn w:val="List"/>
    <w:rsid w:val="008570A2"/>
    <w:pPr>
      <w:numPr>
        <w:numId w:val="11"/>
      </w:numPr>
      <w:tabs>
        <w:tab w:val="clear" w:pos="340"/>
      </w:tabs>
      <w:spacing w:before="40" w:after="40"/>
    </w:pPr>
  </w:style>
  <w:style w:type="character" w:customStyle="1" w:styleId="SpecialBold">
    <w:name w:val="Special Bold"/>
    <w:basedOn w:val="DefaultParagraphFont"/>
    <w:rsid w:val="008570A2"/>
    <w:rPr>
      <w:b/>
      <w:spacing w:val="0"/>
    </w:rPr>
  </w:style>
  <w:style w:type="paragraph" w:customStyle="1" w:styleId="SuperHeading">
    <w:name w:val="SuperHeading"/>
    <w:basedOn w:val="Normal"/>
    <w:rsid w:val="008570A2"/>
    <w:pPr>
      <w:spacing w:before="240" w:after="120"/>
      <w:outlineLvl w:val="0"/>
    </w:pPr>
    <w:rPr>
      <w:rFonts w:ascii="Times New Roman" w:hAnsi="Times New Roman"/>
      <w:b/>
      <w:sz w:val="32"/>
    </w:rPr>
  </w:style>
  <w:style w:type="paragraph" w:customStyle="1" w:styleId="AllowPageBreak">
    <w:name w:val="AllowPageBreak"/>
    <w:rsid w:val="008570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70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0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0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0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0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0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70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70A2"/>
    <w:rPr>
      <w:rFonts w:ascii="Courier New" w:eastAsia="Times New Roman" w:hAnsi="Courier New" w:cs="Times New Roman"/>
      <w:i/>
      <w:szCs w:val="20"/>
      <w:lang w:eastAsia="en-US"/>
    </w:rPr>
  </w:style>
  <w:style w:type="paragraph" w:customStyle="1" w:styleId="HeadingBase">
    <w:name w:val="Heading Base"/>
    <w:rsid w:val="008570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0A2"/>
    <w:pPr>
      <w:tabs>
        <w:tab w:val="right" w:leader="dot" w:pos="9072"/>
      </w:tabs>
      <w:ind w:left="567"/>
    </w:pPr>
    <w:rPr>
      <w:szCs w:val="22"/>
    </w:rPr>
  </w:style>
  <w:style w:type="paragraph" w:customStyle="1" w:styleId="TOCBase">
    <w:name w:val="TOC Base"/>
    <w:rsid w:val="008570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0A2"/>
    <w:pPr>
      <w:tabs>
        <w:tab w:val="right" w:leader="dot" w:pos="9072"/>
      </w:tabs>
      <w:spacing w:before="40" w:after="40"/>
      <w:ind w:left="284"/>
    </w:pPr>
    <w:rPr>
      <w:rFonts w:ascii="Times New Roman" w:hAnsi="Times New Roman"/>
    </w:rPr>
  </w:style>
  <w:style w:type="paragraph" w:styleId="TOC1">
    <w:name w:val="toc 1"/>
    <w:basedOn w:val="TOCBase"/>
    <w:next w:val="Normal"/>
    <w:rsid w:val="008570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70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0A2"/>
    <w:rPr>
      <w:rFonts w:ascii="Times New Roman" w:eastAsia="Times New Roman" w:hAnsi="Times New Roman" w:cs="Times New Roman"/>
      <w:sz w:val="16"/>
      <w:lang w:eastAsia="en-US"/>
    </w:rPr>
  </w:style>
  <w:style w:type="paragraph" w:styleId="Title">
    <w:name w:val="Title"/>
    <w:basedOn w:val="HeadingBase"/>
    <w:link w:val="TitleChar"/>
    <w:qFormat/>
    <w:rsid w:val="008570A2"/>
    <w:pPr>
      <w:spacing w:before="5040"/>
      <w:jc w:val="center"/>
    </w:pPr>
    <w:rPr>
      <w:sz w:val="48"/>
      <w:szCs w:val="72"/>
      <w:lang w:val="en-US"/>
    </w:rPr>
  </w:style>
  <w:style w:type="character" w:customStyle="1" w:styleId="TitleChar">
    <w:name w:val="Title Char"/>
    <w:basedOn w:val="DefaultParagraphFont"/>
    <w:link w:val="Title"/>
    <w:rsid w:val="008570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0A2"/>
    <w:pPr>
      <w:tabs>
        <w:tab w:val="left" w:pos="3600"/>
        <w:tab w:val="left" w:pos="3958"/>
      </w:tabs>
    </w:pPr>
  </w:style>
  <w:style w:type="paragraph" w:styleId="List">
    <w:name w:val="List"/>
    <w:basedOn w:val="BodyText"/>
    <w:next w:val="BodyText"/>
    <w:rsid w:val="008570A2"/>
    <w:pPr>
      <w:tabs>
        <w:tab w:val="left" w:pos="340"/>
      </w:tabs>
      <w:spacing w:before="60" w:after="60"/>
      <w:ind w:left="340" w:hanging="340"/>
    </w:pPr>
  </w:style>
  <w:style w:type="paragraph" w:customStyle="1" w:styleId="Note">
    <w:name w:val="Note"/>
    <w:basedOn w:val="BodyText"/>
    <w:rsid w:val="008570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0A2"/>
    <w:pPr>
      <w:framePr w:wrap="auto" w:hAnchor="text" w:y="6049"/>
    </w:pPr>
    <w:rPr>
      <w:color w:val="000000"/>
      <w:sz w:val="40"/>
    </w:rPr>
  </w:style>
  <w:style w:type="paragraph" w:customStyle="1" w:styleId="TOCTitle">
    <w:name w:val="TOCTitle"/>
    <w:basedOn w:val="Heading1"/>
    <w:rsid w:val="008570A2"/>
    <w:pPr>
      <w:spacing w:after="240"/>
      <w:jc w:val="center"/>
      <w:outlineLvl w:val="9"/>
    </w:pPr>
    <w:rPr>
      <w:caps/>
    </w:rPr>
  </w:style>
  <w:style w:type="paragraph" w:customStyle="1" w:styleId="Version">
    <w:name w:val="Version"/>
    <w:rsid w:val="008570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70A2"/>
    <w:pPr>
      <w:numPr>
        <w:numId w:val="12"/>
      </w:numPr>
      <w:tabs>
        <w:tab w:val="clear" w:pos="680"/>
      </w:tabs>
    </w:pPr>
  </w:style>
  <w:style w:type="paragraph" w:styleId="Index1">
    <w:name w:val="index 1"/>
    <w:basedOn w:val="Normal"/>
    <w:next w:val="Normal"/>
    <w:semiHidden/>
    <w:rsid w:val="008570A2"/>
    <w:pPr>
      <w:keepNext w:val="0"/>
      <w:tabs>
        <w:tab w:val="right" w:pos="4176"/>
      </w:tabs>
      <w:ind w:left="198" w:hanging="198"/>
    </w:pPr>
    <w:rPr>
      <w:rFonts w:ascii="Garamond" w:hAnsi="Garamond"/>
    </w:rPr>
  </w:style>
  <w:style w:type="paragraph" w:styleId="IndexHeading">
    <w:name w:val="index heading"/>
    <w:basedOn w:val="Normal"/>
    <w:next w:val="Index1"/>
    <w:semiHidden/>
    <w:rsid w:val="008570A2"/>
    <w:pPr>
      <w:spacing w:before="120" w:after="120"/>
    </w:pPr>
    <w:rPr>
      <w:rFonts w:ascii="Arial" w:hAnsi="Arial"/>
      <w:b/>
      <w:color w:val="918585"/>
      <w:sz w:val="24"/>
    </w:rPr>
  </w:style>
  <w:style w:type="paragraph" w:styleId="Header">
    <w:name w:val="header"/>
    <w:basedOn w:val="Normal"/>
    <w:link w:val="HeaderChar"/>
    <w:rsid w:val="008570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0A2"/>
    <w:rPr>
      <w:rFonts w:ascii="Times New Roman" w:eastAsia="Times New Roman" w:hAnsi="Times New Roman" w:cs="Times New Roman"/>
      <w:sz w:val="16"/>
      <w:szCs w:val="20"/>
      <w:lang w:val="en-GB" w:eastAsia="en-US"/>
    </w:rPr>
  </w:style>
  <w:style w:type="paragraph" w:customStyle="1" w:styleId="Chapter">
    <w:name w:val="Chapter"/>
    <w:basedOn w:val="Normal"/>
    <w:rsid w:val="008570A2"/>
    <w:pPr>
      <w:spacing w:before="240"/>
    </w:pPr>
    <w:rPr>
      <w:rFonts w:ascii="Times New Roman" w:hAnsi="Times New Roman"/>
      <w:smallCaps/>
      <w:spacing w:val="80"/>
      <w:sz w:val="28"/>
    </w:rPr>
  </w:style>
  <w:style w:type="paragraph" w:customStyle="1" w:styleId="InChapter">
    <w:name w:val="InChapter"/>
    <w:basedOn w:val="Heading3"/>
    <w:rsid w:val="008570A2"/>
    <w:pPr>
      <w:spacing w:after="240"/>
      <w:outlineLvl w:val="9"/>
    </w:pPr>
    <w:rPr>
      <w:noProof/>
    </w:rPr>
  </w:style>
  <w:style w:type="paragraph" w:styleId="Index2">
    <w:name w:val="index 2"/>
    <w:basedOn w:val="Normal"/>
    <w:next w:val="Normal"/>
    <w:semiHidden/>
    <w:rsid w:val="008570A2"/>
    <w:pPr>
      <w:tabs>
        <w:tab w:val="right" w:pos="4176"/>
      </w:tabs>
      <w:ind w:left="568" w:hanging="284"/>
    </w:pPr>
    <w:rPr>
      <w:rFonts w:ascii="Garamond" w:hAnsi="Garamond"/>
    </w:rPr>
  </w:style>
  <w:style w:type="paragraph" w:customStyle="1" w:styleId="Byline">
    <w:name w:val="Byline"/>
    <w:rsid w:val="008570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0A2"/>
    <w:pPr>
      <w:tabs>
        <w:tab w:val="clear" w:pos="3600"/>
        <w:tab w:val="clear" w:pos="3958"/>
      </w:tabs>
      <w:jc w:val="right"/>
    </w:pPr>
  </w:style>
  <w:style w:type="character" w:styleId="Emphasis">
    <w:name w:val="Emphasis"/>
    <w:basedOn w:val="DefaultParagraphFont"/>
    <w:qFormat/>
    <w:rsid w:val="008570A2"/>
    <w:rPr>
      <w:i/>
    </w:rPr>
  </w:style>
  <w:style w:type="paragraph" w:styleId="Caption">
    <w:name w:val="caption"/>
    <w:basedOn w:val="BodyText"/>
    <w:next w:val="Normal"/>
    <w:qFormat/>
    <w:rsid w:val="008570A2"/>
    <w:pPr>
      <w:framePr w:w="2268" w:hSpace="181" w:vSpace="181" w:wrap="around" w:vAnchor="text" w:hAnchor="page" w:x="1135" w:y="285" w:anchorLock="1"/>
    </w:pPr>
    <w:rPr>
      <w:i/>
    </w:rPr>
  </w:style>
  <w:style w:type="paragraph" w:customStyle="1" w:styleId="MiniTOCTitle">
    <w:name w:val="MiniTOCTitle"/>
    <w:basedOn w:val="Heading4"/>
    <w:rsid w:val="008570A2"/>
    <w:pPr>
      <w:spacing w:before="240"/>
      <w:outlineLvl w:val="9"/>
    </w:pPr>
    <w:rPr>
      <w:noProof/>
      <w:sz w:val="24"/>
    </w:rPr>
  </w:style>
  <w:style w:type="paragraph" w:customStyle="1" w:styleId="MiniTOCItem">
    <w:name w:val="MiniTOCItem"/>
    <w:basedOn w:val="ListBullet"/>
    <w:rsid w:val="008570A2"/>
    <w:pPr>
      <w:numPr>
        <w:numId w:val="0"/>
      </w:numPr>
      <w:tabs>
        <w:tab w:val="right" w:leader="dot" w:pos="6521"/>
      </w:tabs>
      <w:spacing w:before="0" w:after="0"/>
    </w:pPr>
  </w:style>
  <w:style w:type="paragraph" w:customStyle="1" w:styleId="TOFTitle">
    <w:name w:val="TOFTitle"/>
    <w:basedOn w:val="TOCTitle"/>
    <w:rsid w:val="008570A2"/>
  </w:style>
  <w:style w:type="paragraph" w:styleId="TableofFigures">
    <w:name w:val="table of figures"/>
    <w:basedOn w:val="Normal"/>
    <w:next w:val="Normal"/>
    <w:semiHidden/>
    <w:rsid w:val="008570A2"/>
    <w:pPr>
      <w:tabs>
        <w:tab w:val="right" w:leader="dot" w:pos="9072"/>
      </w:tabs>
      <w:ind w:left="970" w:hanging="403"/>
    </w:pPr>
    <w:rPr>
      <w:rFonts w:ascii="Times New Roman" w:hAnsi="Times New Roman"/>
      <w:b/>
    </w:rPr>
  </w:style>
  <w:style w:type="paragraph" w:styleId="ListNumber">
    <w:name w:val="List Number"/>
    <w:basedOn w:val="List"/>
    <w:rsid w:val="008570A2"/>
    <w:pPr>
      <w:numPr>
        <w:numId w:val="14"/>
      </w:numPr>
      <w:tabs>
        <w:tab w:val="clear" w:pos="340"/>
      </w:tabs>
    </w:pPr>
  </w:style>
  <w:style w:type="character" w:customStyle="1" w:styleId="WingdingSymbols">
    <w:name w:val="Wingding Symbols"/>
    <w:rsid w:val="008570A2"/>
    <w:rPr>
      <w:rFonts w:ascii="Wingdings" w:hAnsi="Wingdings"/>
    </w:rPr>
  </w:style>
  <w:style w:type="paragraph" w:customStyle="1" w:styleId="TableHeading">
    <w:name w:val="Table Heading"/>
    <w:basedOn w:val="HeadingBase"/>
    <w:rsid w:val="008570A2"/>
    <w:pPr>
      <w:keepLines/>
      <w:pBdr>
        <w:bottom w:val="single" w:sz="6" w:space="1" w:color="918585"/>
      </w:pBdr>
      <w:spacing w:before="240"/>
    </w:pPr>
  </w:style>
  <w:style w:type="character" w:customStyle="1" w:styleId="HotSpot">
    <w:name w:val="HotSpot"/>
    <w:rsid w:val="008570A2"/>
    <w:rPr>
      <w:color w:val="0033CC"/>
      <w:u w:val="none"/>
    </w:rPr>
  </w:style>
  <w:style w:type="paragraph" w:customStyle="1" w:styleId="BodyTextRight">
    <w:name w:val="Body Text Right"/>
    <w:basedOn w:val="BodyText"/>
    <w:rsid w:val="008570A2"/>
    <w:pPr>
      <w:spacing w:before="0" w:after="0"/>
      <w:jc w:val="right"/>
    </w:pPr>
  </w:style>
  <w:style w:type="paragraph" w:styleId="Index3">
    <w:name w:val="index 3"/>
    <w:basedOn w:val="ListNumber2"/>
    <w:next w:val="Normal"/>
    <w:semiHidden/>
    <w:rsid w:val="008570A2"/>
    <w:pPr>
      <w:numPr>
        <w:numId w:val="0"/>
      </w:numPr>
      <w:tabs>
        <w:tab w:val="right" w:leader="dot" w:pos="4176"/>
      </w:tabs>
    </w:pPr>
  </w:style>
  <w:style w:type="paragraph" w:styleId="ListNumber2">
    <w:name w:val="List Number 2"/>
    <w:basedOn w:val="List2"/>
    <w:rsid w:val="008570A2"/>
    <w:pPr>
      <w:numPr>
        <w:numId w:val="9"/>
      </w:numPr>
      <w:tabs>
        <w:tab w:val="clear" w:pos="1060"/>
      </w:tabs>
    </w:pPr>
  </w:style>
  <w:style w:type="paragraph" w:customStyle="1" w:styleId="MarginNote">
    <w:name w:val="Margin Note"/>
    <w:basedOn w:val="BodyText"/>
    <w:rsid w:val="008570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0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0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70A2"/>
    <w:rPr>
      <w:sz w:val="32"/>
    </w:rPr>
  </w:style>
  <w:style w:type="paragraph" w:customStyle="1" w:styleId="HeadingProcedure">
    <w:name w:val="Heading Procedure"/>
    <w:basedOn w:val="HeadingBase"/>
    <w:next w:val="Normal"/>
    <w:rsid w:val="008570A2"/>
    <w:pPr>
      <w:tabs>
        <w:tab w:val="left" w:pos="0"/>
      </w:tabs>
      <w:spacing w:before="120" w:after="60"/>
    </w:pPr>
    <w:rPr>
      <w:i/>
      <w:color w:val="918585"/>
      <w:sz w:val="22"/>
    </w:rPr>
  </w:style>
  <w:style w:type="paragraph" w:customStyle="1" w:styleId="TableBodyText">
    <w:name w:val="Table Body Text"/>
    <w:basedOn w:val="BodyText"/>
    <w:rsid w:val="008570A2"/>
    <w:pPr>
      <w:spacing w:before="60" w:after="60"/>
    </w:pPr>
  </w:style>
  <w:style w:type="paragraph" w:styleId="ListContinue">
    <w:name w:val="List Continue"/>
    <w:basedOn w:val="List"/>
    <w:rsid w:val="008570A2"/>
    <w:pPr>
      <w:ind w:firstLine="0"/>
    </w:pPr>
  </w:style>
  <w:style w:type="paragraph" w:customStyle="1" w:styleId="ListNote">
    <w:name w:val="List Note"/>
    <w:basedOn w:val="List"/>
    <w:rsid w:val="008570A2"/>
    <w:pPr>
      <w:pBdr>
        <w:top w:val="single" w:sz="6" w:space="2" w:color="918585"/>
        <w:bottom w:val="single" w:sz="6" w:space="2" w:color="918585"/>
      </w:pBdr>
      <w:tabs>
        <w:tab w:val="left" w:pos="1021"/>
      </w:tabs>
      <w:ind w:firstLine="0"/>
    </w:pPr>
  </w:style>
  <w:style w:type="paragraph" w:customStyle="1" w:styleId="Warning">
    <w:name w:val="Warning"/>
    <w:basedOn w:val="BodyText"/>
    <w:rsid w:val="008570A2"/>
    <w:pPr>
      <w:shd w:val="clear" w:color="auto" w:fill="D9D9D9"/>
      <w:tabs>
        <w:tab w:val="left" w:pos="992"/>
      </w:tabs>
      <w:ind w:left="119" w:right="119"/>
    </w:pPr>
    <w:rPr>
      <w:sz w:val="20"/>
    </w:rPr>
  </w:style>
  <w:style w:type="paragraph" w:customStyle="1" w:styleId="MarginIcons">
    <w:name w:val="Margin Icons"/>
    <w:basedOn w:val="BodyText"/>
    <w:rsid w:val="008570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0A2"/>
    <w:rPr>
      <w:rFonts w:ascii="Courier New" w:hAnsi="Courier New"/>
    </w:rPr>
  </w:style>
  <w:style w:type="paragraph" w:customStyle="1" w:styleId="NoteBullet">
    <w:name w:val="Note Bullet"/>
    <w:basedOn w:val="Note"/>
    <w:rsid w:val="008570A2"/>
    <w:pPr>
      <w:tabs>
        <w:tab w:val="clear" w:pos="680"/>
      </w:tabs>
      <w:spacing w:before="60" w:after="60"/>
    </w:pPr>
  </w:style>
  <w:style w:type="paragraph" w:customStyle="1" w:styleId="SubHeading2">
    <w:name w:val="SubHeading2"/>
    <w:basedOn w:val="HeadingBase"/>
    <w:rsid w:val="008570A2"/>
    <w:pPr>
      <w:spacing w:before="240" w:after="60"/>
    </w:pPr>
    <w:rPr>
      <w:sz w:val="20"/>
    </w:rPr>
  </w:style>
  <w:style w:type="paragraph" w:customStyle="1" w:styleId="SubHeading1">
    <w:name w:val="SubHeading1"/>
    <w:basedOn w:val="HeadingBase"/>
    <w:rsid w:val="008570A2"/>
    <w:pPr>
      <w:spacing w:before="240" w:after="60"/>
    </w:pPr>
    <w:rPr>
      <w:color w:val="918585"/>
      <w:sz w:val="22"/>
    </w:rPr>
  </w:style>
  <w:style w:type="paragraph" w:customStyle="1" w:styleId="SideHeading">
    <w:name w:val="Side Heading"/>
    <w:basedOn w:val="HeadingBase"/>
    <w:rsid w:val="008570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0A2"/>
    <w:pPr>
      <w:numPr>
        <w:numId w:val="10"/>
      </w:numPr>
    </w:pPr>
  </w:style>
  <w:style w:type="paragraph" w:styleId="PlainText">
    <w:name w:val="Plain Text"/>
    <w:basedOn w:val="Normal"/>
    <w:link w:val="PlainTextChar"/>
    <w:rsid w:val="008570A2"/>
    <w:rPr>
      <w:sz w:val="20"/>
    </w:rPr>
  </w:style>
  <w:style w:type="character" w:customStyle="1" w:styleId="PlainTextChar">
    <w:name w:val="Plain Text Char"/>
    <w:basedOn w:val="DefaultParagraphFont"/>
    <w:link w:val="PlainText"/>
    <w:rsid w:val="008570A2"/>
    <w:rPr>
      <w:rFonts w:ascii="Courier New" w:eastAsia="Times New Roman" w:hAnsi="Courier New" w:cs="Times New Roman"/>
      <w:sz w:val="20"/>
      <w:szCs w:val="20"/>
      <w:lang w:eastAsia="en-US"/>
    </w:rPr>
  </w:style>
  <w:style w:type="character" w:customStyle="1" w:styleId="MenuOption">
    <w:name w:val="Menu Option"/>
    <w:basedOn w:val="DefaultParagraphFont"/>
    <w:rsid w:val="008570A2"/>
    <w:rPr>
      <w:b/>
      <w:smallCaps/>
    </w:rPr>
  </w:style>
  <w:style w:type="paragraph" w:customStyle="1" w:styleId="TableListNumber">
    <w:name w:val="Table List Number"/>
    <w:basedOn w:val="ListNumber"/>
    <w:rsid w:val="008570A2"/>
    <w:pPr>
      <w:numPr>
        <w:numId w:val="0"/>
      </w:numPr>
    </w:pPr>
  </w:style>
  <w:style w:type="paragraph" w:styleId="TOC4">
    <w:name w:val="toc 4"/>
    <w:basedOn w:val="TOCBase"/>
    <w:next w:val="Normal"/>
    <w:semiHidden/>
    <w:rsid w:val="008570A2"/>
    <w:pPr>
      <w:tabs>
        <w:tab w:val="right" w:leader="dot" w:pos="9071"/>
      </w:tabs>
      <w:ind w:left="1701"/>
    </w:pPr>
  </w:style>
  <w:style w:type="paragraph" w:customStyle="1" w:styleId="ListAlpha">
    <w:name w:val="List Alpha"/>
    <w:basedOn w:val="List"/>
    <w:rsid w:val="008570A2"/>
    <w:pPr>
      <w:numPr>
        <w:numId w:val="8"/>
      </w:numPr>
    </w:pPr>
  </w:style>
  <w:style w:type="paragraph" w:customStyle="1" w:styleId="ListAlpha2">
    <w:name w:val="List Alpha 2"/>
    <w:basedOn w:val="List2"/>
    <w:rsid w:val="008570A2"/>
    <w:pPr>
      <w:numPr>
        <w:numId w:val="7"/>
      </w:numPr>
    </w:pPr>
  </w:style>
  <w:style w:type="paragraph" w:styleId="List2">
    <w:name w:val="List 2"/>
    <w:basedOn w:val="BodyText"/>
    <w:rsid w:val="008570A2"/>
    <w:pPr>
      <w:tabs>
        <w:tab w:val="left" w:pos="680"/>
      </w:tabs>
      <w:spacing w:before="60" w:after="60"/>
      <w:ind w:left="680" w:hanging="340"/>
    </w:pPr>
  </w:style>
  <w:style w:type="paragraph" w:styleId="List3">
    <w:name w:val="List 3"/>
    <w:basedOn w:val="BodyText"/>
    <w:rsid w:val="008570A2"/>
    <w:pPr>
      <w:tabs>
        <w:tab w:val="left" w:pos="1021"/>
      </w:tabs>
      <w:spacing w:before="60" w:after="60"/>
      <w:ind w:left="1020" w:hanging="340"/>
    </w:pPr>
  </w:style>
  <w:style w:type="paragraph" w:styleId="List4">
    <w:name w:val="List 4"/>
    <w:basedOn w:val="BodyText"/>
    <w:rsid w:val="008570A2"/>
    <w:pPr>
      <w:tabs>
        <w:tab w:val="left" w:pos="1361"/>
      </w:tabs>
      <w:spacing w:before="60" w:after="60"/>
      <w:ind w:left="1361" w:hanging="340"/>
    </w:pPr>
  </w:style>
  <w:style w:type="paragraph" w:styleId="List5">
    <w:name w:val="List 5"/>
    <w:basedOn w:val="BodyText"/>
    <w:rsid w:val="008570A2"/>
    <w:pPr>
      <w:tabs>
        <w:tab w:val="left" w:pos="1701"/>
      </w:tabs>
      <w:spacing w:before="60" w:after="60"/>
      <w:ind w:left="1701" w:hanging="340"/>
    </w:pPr>
  </w:style>
  <w:style w:type="paragraph" w:styleId="ListBullet3">
    <w:name w:val="List Bullet 3"/>
    <w:basedOn w:val="List3"/>
    <w:rsid w:val="008570A2"/>
    <w:pPr>
      <w:numPr>
        <w:numId w:val="13"/>
      </w:numPr>
      <w:tabs>
        <w:tab w:val="clear" w:pos="1021"/>
      </w:tabs>
      <w:ind w:left="1037" w:hanging="357"/>
    </w:pPr>
  </w:style>
  <w:style w:type="paragraph" w:styleId="ListBullet4">
    <w:name w:val="List Bullet 4"/>
    <w:basedOn w:val="List4"/>
    <w:rsid w:val="008570A2"/>
    <w:pPr>
      <w:numPr>
        <w:numId w:val="2"/>
      </w:numPr>
      <w:tabs>
        <w:tab w:val="clear" w:pos="1361"/>
      </w:tabs>
    </w:pPr>
  </w:style>
  <w:style w:type="paragraph" w:styleId="ListBullet5">
    <w:name w:val="List Bullet 5"/>
    <w:basedOn w:val="List5"/>
    <w:rsid w:val="008570A2"/>
    <w:pPr>
      <w:numPr>
        <w:numId w:val="3"/>
      </w:numPr>
    </w:pPr>
  </w:style>
  <w:style w:type="paragraph" w:styleId="ListContinue2">
    <w:name w:val="List Continue 2"/>
    <w:basedOn w:val="List2"/>
    <w:rsid w:val="008570A2"/>
    <w:pPr>
      <w:ind w:firstLine="0"/>
    </w:pPr>
  </w:style>
  <w:style w:type="paragraph" w:styleId="ListContinue3">
    <w:name w:val="List Continue 3"/>
    <w:basedOn w:val="List3"/>
    <w:rsid w:val="008570A2"/>
    <w:pPr>
      <w:ind w:left="1021" w:firstLine="0"/>
    </w:pPr>
  </w:style>
  <w:style w:type="paragraph" w:styleId="ListContinue4">
    <w:name w:val="List Continue 4"/>
    <w:basedOn w:val="List4"/>
    <w:rsid w:val="008570A2"/>
    <w:pPr>
      <w:ind w:firstLine="0"/>
    </w:pPr>
  </w:style>
  <w:style w:type="paragraph" w:styleId="ListContinue5">
    <w:name w:val="List Continue 5"/>
    <w:basedOn w:val="List5"/>
    <w:rsid w:val="008570A2"/>
    <w:pPr>
      <w:ind w:firstLine="0"/>
    </w:pPr>
  </w:style>
  <w:style w:type="paragraph" w:styleId="ListNumber3">
    <w:name w:val="List Number 3"/>
    <w:basedOn w:val="List3"/>
    <w:rsid w:val="008570A2"/>
    <w:pPr>
      <w:numPr>
        <w:numId w:val="4"/>
      </w:numPr>
    </w:pPr>
  </w:style>
  <w:style w:type="paragraph" w:styleId="ListNumber4">
    <w:name w:val="List Number 4"/>
    <w:basedOn w:val="List4"/>
    <w:rsid w:val="008570A2"/>
    <w:pPr>
      <w:numPr>
        <w:numId w:val="5"/>
      </w:numPr>
    </w:pPr>
  </w:style>
  <w:style w:type="paragraph" w:styleId="ListNumber5">
    <w:name w:val="List Number 5"/>
    <w:basedOn w:val="List5"/>
    <w:rsid w:val="008570A2"/>
    <w:pPr>
      <w:numPr>
        <w:numId w:val="6"/>
      </w:numPr>
    </w:pPr>
  </w:style>
  <w:style w:type="paragraph" w:styleId="BlockText">
    <w:name w:val="Block Text"/>
    <w:basedOn w:val="Normal"/>
    <w:rsid w:val="008570A2"/>
    <w:pPr>
      <w:spacing w:after="120"/>
      <w:ind w:left="1440" w:right="1440"/>
    </w:pPr>
  </w:style>
  <w:style w:type="character" w:customStyle="1" w:styleId="Subscript">
    <w:name w:val="Subscript"/>
    <w:basedOn w:val="DefaultParagraphFont"/>
    <w:rsid w:val="008570A2"/>
    <w:rPr>
      <w:sz w:val="16"/>
      <w:vertAlign w:val="subscript"/>
    </w:rPr>
  </w:style>
  <w:style w:type="character" w:customStyle="1" w:styleId="Superscript">
    <w:name w:val="Superscript"/>
    <w:basedOn w:val="DefaultParagraphFont"/>
    <w:rsid w:val="008570A2"/>
    <w:rPr>
      <w:sz w:val="16"/>
      <w:vertAlign w:val="superscript"/>
    </w:rPr>
  </w:style>
  <w:style w:type="character" w:customStyle="1" w:styleId="Symbols">
    <w:name w:val="Symbols"/>
    <w:basedOn w:val="DefaultParagraphFont"/>
    <w:rsid w:val="008570A2"/>
    <w:rPr>
      <w:rFonts w:ascii="Symbol" w:hAnsi="Symbol"/>
    </w:rPr>
  </w:style>
  <w:style w:type="character" w:customStyle="1" w:styleId="MenuOptions">
    <w:name w:val="Menu Options"/>
    <w:basedOn w:val="DefaultParagraphFont"/>
    <w:rsid w:val="008570A2"/>
    <w:rPr>
      <w:rFonts w:ascii="Arial Narrow" w:hAnsi="Arial Narrow"/>
      <w:smallCaps/>
    </w:rPr>
  </w:style>
  <w:style w:type="character" w:customStyle="1" w:styleId="Buttons">
    <w:name w:val="Buttons"/>
    <w:basedOn w:val="DefaultParagraphFont"/>
    <w:rsid w:val="008570A2"/>
    <w:rPr>
      <w:b/>
    </w:rPr>
  </w:style>
  <w:style w:type="character" w:customStyle="1" w:styleId="Underlined">
    <w:name w:val="Underlined"/>
    <w:basedOn w:val="DefaultParagraphFont"/>
    <w:rsid w:val="008570A2"/>
    <w:rPr>
      <w:u w:val="single"/>
    </w:rPr>
  </w:style>
  <w:style w:type="paragraph" w:customStyle="1" w:styleId="TableBodyTextRight">
    <w:name w:val="Table Body Text Right"/>
    <w:basedOn w:val="TableBodyText"/>
    <w:rsid w:val="008570A2"/>
    <w:pPr>
      <w:widowControl w:val="0"/>
      <w:autoSpaceDE w:val="0"/>
      <w:autoSpaceDN w:val="0"/>
      <w:adjustRightInd w:val="0"/>
      <w:jc w:val="right"/>
    </w:pPr>
    <w:rPr>
      <w:rFonts w:cs="Arial"/>
      <w:szCs w:val="18"/>
    </w:rPr>
  </w:style>
  <w:style w:type="paragraph" w:customStyle="1" w:styleId="CopyrightText">
    <w:name w:val="Copyright Text"/>
    <w:basedOn w:val="BodyText"/>
    <w:rsid w:val="008570A2"/>
    <w:rPr>
      <w:sz w:val="18"/>
    </w:rPr>
  </w:style>
  <w:style w:type="paragraph" w:customStyle="1" w:styleId="BodySmallRight">
    <w:name w:val="Body Small Right"/>
    <w:basedOn w:val="BodyTextRight"/>
    <w:rsid w:val="008570A2"/>
    <w:rPr>
      <w:sz w:val="18"/>
      <w:szCs w:val="18"/>
    </w:rPr>
  </w:style>
  <w:style w:type="paragraph" w:customStyle="1" w:styleId="MarginEdition">
    <w:name w:val="Margin Edition"/>
    <w:basedOn w:val="MarginNote"/>
    <w:rsid w:val="008570A2"/>
    <w:pPr>
      <w:spacing w:before="0" w:after="0"/>
    </w:pPr>
    <w:rPr>
      <w:rFonts w:ascii="Times New Roman" w:hAnsi="Times New Roman"/>
      <w:color w:val="999999"/>
    </w:rPr>
  </w:style>
  <w:style w:type="paragraph" w:customStyle="1" w:styleId="Spacer">
    <w:name w:val="Spacer"/>
    <w:basedOn w:val="Normal"/>
    <w:rsid w:val="008570A2"/>
    <w:rPr>
      <w:sz w:val="2"/>
      <w:szCs w:val="2"/>
    </w:rPr>
  </w:style>
  <w:style w:type="character" w:customStyle="1" w:styleId="Small">
    <w:name w:val="Small"/>
    <w:basedOn w:val="DefaultParagraphFont"/>
    <w:rsid w:val="008570A2"/>
    <w:rPr>
      <w:sz w:val="16"/>
    </w:rPr>
  </w:style>
  <w:style w:type="paragraph" w:customStyle="1" w:styleId="WideTable">
    <w:name w:val="Wide Table"/>
    <w:basedOn w:val="Normal"/>
    <w:rsid w:val="008570A2"/>
    <w:pPr>
      <w:ind w:left="-1418"/>
    </w:pPr>
    <w:rPr>
      <w:sz w:val="2"/>
      <w:szCs w:val="2"/>
    </w:rPr>
  </w:style>
  <w:style w:type="character" w:styleId="PageNumber">
    <w:name w:val="page number"/>
    <w:basedOn w:val="DefaultParagraphFont"/>
    <w:rsid w:val="008570A2"/>
  </w:style>
  <w:style w:type="paragraph" w:styleId="Quote">
    <w:name w:val="Quote"/>
    <w:basedOn w:val="Heading1"/>
    <w:link w:val="QuoteChar"/>
    <w:qFormat/>
    <w:rsid w:val="008570A2"/>
    <w:rPr>
      <w:b w:val="0"/>
      <w:sz w:val="72"/>
      <w:szCs w:val="72"/>
      <w:lang w:val="en-NZ"/>
    </w:rPr>
  </w:style>
  <w:style w:type="character" w:customStyle="1" w:styleId="QuoteChar">
    <w:name w:val="Quote Char"/>
    <w:basedOn w:val="DefaultParagraphFont"/>
    <w:link w:val="Quote"/>
    <w:rsid w:val="008570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0A2"/>
    <w:pPr>
      <w:pageBreakBefore/>
    </w:pPr>
  </w:style>
  <w:style w:type="paragraph" w:customStyle="1" w:styleId="Border">
    <w:name w:val="Border"/>
    <w:basedOn w:val="Normal"/>
    <w:qFormat/>
    <w:rsid w:val="008570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0A2"/>
    <w:rPr>
      <w:b/>
      <w:bCs/>
      <w:i/>
      <w:iCs/>
      <w:color w:val="auto"/>
    </w:rPr>
  </w:style>
  <w:style w:type="paragraph" w:styleId="IntenseQuote">
    <w:name w:val="Intense Quote"/>
    <w:basedOn w:val="Normal"/>
    <w:next w:val="Normal"/>
    <w:link w:val="IntenseQuoteChar"/>
    <w:uiPriority w:val="30"/>
    <w:qFormat/>
    <w:rsid w:val="008570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0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70A2"/>
    <w:rPr>
      <w:smallCaps/>
      <w:color w:val="auto"/>
      <w:u w:val="single"/>
    </w:rPr>
  </w:style>
  <w:style w:type="character" w:styleId="IntenseReference">
    <w:name w:val="Intense Reference"/>
    <w:basedOn w:val="DefaultParagraphFont"/>
    <w:uiPriority w:val="32"/>
    <w:qFormat/>
    <w:rsid w:val="008570A2"/>
    <w:rPr>
      <w:b/>
      <w:bCs/>
      <w:smallCaps/>
      <w:color w:val="auto"/>
      <w:spacing w:val="5"/>
      <w:u w:val="single"/>
    </w:rPr>
  </w:style>
  <w:style w:type="paragraph" w:customStyle="1" w:styleId="2ColumnHeading">
    <w:name w:val="2Column Heading"/>
    <w:basedOn w:val="BodyText"/>
    <w:qFormat/>
    <w:rsid w:val="008570A2"/>
    <w:pPr>
      <w:spacing w:after="60"/>
      <w:ind w:left="-2268"/>
    </w:pPr>
    <w:rPr>
      <w:b/>
    </w:rPr>
  </w:style>
  <w:style w:type="paragraph" w:customStyle="1" w:styleId="Heading1TOC">
    <w:name w:val="Heading1 TOC"/>
    <w:basedOn w:val="Normal"/>
    <w:qFormat/>
    <w:rsid w:val="008570A2"/>
    <w:pPr>
      <w:spacing w:before="240" w:after="120"/>
    </w:pPr>
    <w:rPr>
      <w:rFonts w:ascii="Times New Roman" w:hAnsi="Times New Roman"/>
      <w:b/>
      <w:sz w:val="32"/>
    </w:rPr>
  </w:style>
  <w:style w:type="paragraph" w:customStyle="1" w:styleId="Heading2TOC">
    <w:name w:val="Heading2 TOC"/>
    <w:basedOn w:val="Normal"/>
    <w:qFormat/>
    <w:rsid w:val="008570A2"/>
    <w:pPr>
      <w:spacing w:before="240" w:after="60"/>
    </w:pPr>
    <w:rPr>
      <w:rFonts w:ascii="Times New Roman" w:hAnsi="Times New Roman"/>
      <w:b/>
      <w:sz w:val="28"/>
    </w:rPr>
  </w:style>
  <w:style w:type="character" w:customStyle="1" w:styleId="Underline">
    <w:name w:val="Underline"/>
    <w:basedOn w:val="DefaultParagraphFont"/>
    <w:qFormat/>
    <w:rsid w:val="008570A2"/>
    <w:rPr>
      <w:u w:val="single"/>
    </w:rPr>
  </w:style>
  <w:style w:type="character" w:customStyle="1" w:styleId="BoldandItalics">
    <w:name w:val="Bold and Italics"/>
    <w:qFormat/>
    <w:rsid w:val="008570A2"/>
    <w:rPr>
      <w:b/>
      <w:i/>
      <w:u w:val="none"/>
    </w:rPr>
  </w:style>
  <w:style w:type="paragraph" w:styleId="BalloonText">
    <w:name w:val="Balloon Text"/>
    <w:basedOn w:val="Normal"/>
    <w:link w:val="BalloonTextChar"/>
    <w:rsid w:val="008570A2"/>
    <w:rPr>
      <w:rFonts w:ascii="Tahoma" w:hAnsi="Tahoma" w:cs="Tahoma"/>
      <w:sz w:val="16"/>
      <w:szCs w:val="16"/>
    </w:rPr>
  </w:style>
  <w:style w:type="character" w:customStyle="1" w:styleId="BalloonTextChar">
    <w:name w:val="Balloon Text Char"/>
    <w:basedOn w:val="DefaultParagraphFont"/>
    <w:link w:val="BalloonText"/>
    <w:rsid w:val="008570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70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70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70A2"/>
    <w:rPr>
      <w:b/>
      <w:color w:val="660033"/>
      <w:spacing w:val="0"/>
    </w:rPr>
  </w:style>
  <w:style w:type="paragraph" w:customStyle="1" w:styleId="Nameditemlist">
    <w:name w:val="Named item list"/>
    <w:basedOn w:val="BodyText"/>
    <w:qFormat/>
    <w:rsid w:val="008570A2"/>
    <w:pPr>
      <w:tabs>
        <w:tab w:val="left" w:pos="2835"/>
      </w:tabs>
      <w:ind w:left="2835" w:hanging="2835"/>
    </w:pPr>
  </w:style>
  <w:style w:type="paragraph" w:customStyle="1" w:styleId="BodyTextnopadding">
    <w:name w:val="Body Text no padding"/>
    <w:basedOn w:val="BodyText"/>
    <w:qFormat/>
    <w:rsid w:val="008570A2"/>
    <w:pPr>
      <w:spacing w:before="0" w:after="0"/>
    </w:pPr>
  </w:style>
  <w:style w:type="paragraph" w:customStyle="1" w:styleId="BodyTextBold">
    <w:name w:val="Body Text Bold"/>
    <w:basedOn w:val="BodyText"/>
    <w:qFormat/>
    <w:rsid w:val="008570A2"/>
    <w:rPr>
      <w:b/>
    </w:rPr>
  </w:style>
  <w:style w:type="character" w:styleId="Hyperlink">
    <w:name w:val="Hyperlink"/>
    <w:basedOn w:val="DefaultParagraphFont"/>
    <w:uiPriority w:val="99"/>
    <w:unhideWhenUsed/>
    <w:rsid w:val="003066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629</Words>
  <Characters>3731</Characters>
  <Application>Microsoft Office Word</Application>
  <DocSecurity>0</DocSecurity>
  <Lines>169</Lines>
  <Paragraphs>128</Paragraphs>
  <ScaleCrop>false</ScaleCrop>
  <Company>Author-it Software Corporation Ltd.</Company>
  <LinksUpToDate>false</LinksUpToDate>
  <CharactersWithSpaces>4232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MSF31213 Certificate III in Piano Technology</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2022-06-03T17:23:26Z</dcterms:created>
  <dcterms:modified xsi:type="dcterms:W3CDTF">2022-06-02T21:41:00Z</dcterms:modified>
</cp:coreProperties>
</file>