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7356" w:rsidP="00ED7356">
      <w:pPr>
        <w:pStyle w:val="Title"/>
      </w:pPr>
      <w:r>
        <w:fldChar w:fldCharType="begin"/>
      </w:r>
      <w:r>
        <w:instrText xml:space="preserve"> TITLE   \* MERGEFORMAT </w:instrText>
      </w:r>
      <w:r>
        <w:fldChar w:fldCharType="separate"/>
      </w:r>
      <w:r>
        <w:t>MSF20313 Certificate II in Furniture Making</w:t>
      </w:r>
      <w:r>
        <w:fldChar w:fldCharType="end"/>
      </w:r>
    </w:p>
    <w:p w:rsidR="00ED7356" w:rsidP="00ED7356">
      <w:pPr>
        <w:pStyle w:val="Version"/>
        <w:sectPr w:rsidSect="000A212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7</w:t>
      </w:r>
      <w:r>
        <w:fldChar w:fldCharType="end"/>
      </w:r>
    </w:p>
    <w:p w:rsidR="00000000" w:rsidRPr="000A212A" w:rsidP="000A212A">
      <w:pPr>
        <w:pStyle w:val="SuperHeading"/>
      </w:pPr>
      <w:r w:rsidRPr="000A212A">
        <w:t>MSF20313 Certificate II in Furniture Making</w:t>
      </w:r>
    </w:p>
    <w:p w:rsidR="00000000" w:rsidRPr="000A212A" w:rsidP="000A212A">
      <w:pPr>
        <w:pStyle w:val="Heading1"/>
      </w:pPr>
      <w:bookmarkStart w:id="1" w:name="O_1202280"/>
      <w:bookmarkEnd w:id="1"/>
      <w:r w:rsidRPr="000A212A">
        <w:t>Modification History</w:t>
      </w:r>
    </w:p>
    <w:p w:rsidR="00000000" w:rsidRPr="000A212A" w:rsidP="00ED7356">
      <w:pPr>
        <w:pStyle w:val="List"/>
      </w:pPr>
      <w:r w:rsidRPr="000A212A">
        <w:t>Release 7. Imported units and metadata updated.</w:t>
      </w:r>
    </w:p>
    <w:p w:rsidR="00000000" w:rsidRPr="000A212A" w:rsidP="00ED7356">
      <w:pPr>
        <w:pStyle w:val="List"/>
      </w:pPr>
      <w:r w:rsidRPr="000A212A">
        <w:t>Release 6. Imported units updated. Equivalent.</w:t>
      </w:r>
    </w:p>
    <w:p w:rsidR="00000000" w:rsidRPr="000A212A" w:rsidP="00ED7356">
      <w:pPr>
        <w:pStyle w:val="BodyText"/>
      </w:pPr>
      <w:r w:rsidRPr="000A212A">
        <w:t>Release 5. Qualification Descriptor adjusted to reflect target group - no change to qualification.</w:t>
      </w:r>
    </w:p>
    <w:p w:rsidR="00000000" w:rsidRPr="000A212A" w:rsidP="00ED7356">
      <w:pPr>
        <w:pStyle w:val="BodyText"/>
      </w:pPr>
      <w:r w:rsidRPr="000A212A">
        <w:t>Release 4. Group A selection cor</w:t>
      </w:r>
      <w:r w:rsidRPr="000A212A">
        <w:t>rected. Additional information in qualification descriptor. Imported units updated. Equivalent.</w:t>
      </w:r>
    </w:p>
    <w:p w:rsidR="00000000" w:rsidRPr="000A212A" w:rsidP="00ED7356">
      <w:r w:rsidRPr="000A212A">
        <w:t>Release 3.  Imported units updated.  Equivalent.</w:t>
      </w:r>
    </w:p>
    <w:p w:rsidR="00000000" w:rsidRPr="000A212A" w:rsidP="00ED7356">
      <w:r w:rsidRPr="000A212A">
        <w:t>Release 2. Unit title corrected for MSFFM2010. No change in outcomes.</w:t>
      </w:r>
    </w:p>
    <w:p w:rsidR="00000000" w:rsidRPr="000A212A" w:rsidP="00ED7356">
      <w:r w:rsidRPr="000A212A">
        <w:t>Release 1. New qualification</w:t>
      </w:r>
    </w:p>
    <w:p w:rsidR="00000000" w:rsidRPr="000A212A" w:rsidP="000A212A">
      <w:pPr>
        <w:pStyle w:val="Heading1"/>
      </w:pPr>
      <w:bookmarkStart w:id="2" w:name="O_1202279"/>
      <w:bookmarkEnd w:id="2"/>
      <w:r w:rsidRPr="000A212A">
        <w:t>Qualification Description</w:t>
      </w:r>
    </w:p>
    <w:p w:rsidR="00000000" w:rsidRPr="000A212A" w:rsidP="00ED7356">
      <w:pPr>
        <w:pStyle w:val="BodyText"/>
      </w:pPr>
      <w:r w:rsidRPr="000A212A">
        <w:t>This qualification describes the skills and knowledge required to perform the manufacture of free-standing furniture or built-in cabinets, and provide on-site assistance in the installation of furniture or cabinets involvin</w:t>
      </w:r>
      <w:r w:rsidRPr="000A212A">
        <w:t>g known routines and procedures and some accountability for the quality of outcomes. It reflects vocational outcomes for those performing assistant cabinet maker, assistant installer of built-in cabinets, and production operator within a cabinet making ent</w:t>
      </w:r>
      <w:r w:rsidRPr="000A212A">
        <w:t>erprise. Cabinets include free-standing and built-in furniture or fitted cabinets, such as those used in kitchens and bathrooms. Skills are also included that cover assisting in the installation or renovation of kitchens and bathrooms and other fitted cabi</w:t>
      </w:r>
      <w:r w:rsidRPr="000A212A">
        <w:t xml:space="preserve">nets, which involves collaboration with others through members of a group or team. This qualification does not cover shopfitting. </w:t>
      </w:r>
    </w:p>
    <w:p w:rsidR="00000000" w:rsidRPr="000A212A" w:rsidP="00ED7356">
      <w:pPr>
        <w:pStyle w:val="BodyText"/>
      </w:pPr>
      <w:r w:rsidRPr="000A212A">
        <w:t xml:space="preserve">Meaningful involvement of industry is essential to achieving this qualification outcome. </w:t>
      </w:r>
    </w:p>
    <w:p w:rsidR="00000000" w:rsidRPr="000A212A" w:rsidP="00ED7356">
      <w:pPr>
        <w:pStyle w:val="BodyText"/>
      </w:pPr>
      <w:r w:rsidRPr="000A212A">
        <w:t>This qualification is suitable fo</w:t>
      </w:r>
      <w:r w:rsidRPr="000A212A">
        <w:t>r persons employed in furniture making as described above. It also applies to persons who are formally engaged in a traineeship in accordance with the Australian Apprenticeships policy. The MSF20516 Certificate II in Furniture Making Pathways is the approp</w:t>
      </w:r>
      <w:r w:rsidRPr="000A212A">
        <w:t>riate qualification for VET delivered to secondary students.</w:t>
      </w:r>
    </w:p>
    <w:p w:rsidR="00000000" w:rsidRPr="000A212A" w:rsidP="00ED7356">
      <w:pPr>
        <w:pStyle w:val="BodyText"/>
      </w:pPr>
      <w:r w:rsidRPr="000A212A">
        <w:t>There are no specific licences that relate to this qualification. However, depending on the state and territory where work is undertaken licensing may relate to this qualification where the cand</w:t>
      </w:r>
      <w:r w:rsidRPr="000A212A">
        <w:t>idate is required to work on-site. The licensing requirement will usually involve construction induction training. Where licensing is required the unit CPCWHS1001 - Prepare to work safely in the construction industry should be selected. If no licensing req</w:t>
      </w:r>
      <w:r w:rsidRPr="000A212A">
        <w:t>uirement exists (e.g. where all work will be off-site) then the unit MSMWHS200 Work safely should be selected</w:t>
      </w:r>
    </w:p>
    <w:p w:rsidR="00000000" w:rsidRPr="000A212A" w:rsidP="000A212A">
      <w:pPr>
        <w:pStyle w:val="Heading1"/>
      </w:pPr>
      <w:bookmarkStart w:id="3" w:name="O_1202278"/>
      <w:bookmarkEnd w:id="3"/>
      <w:r w:rsidRPr="000A212A">
        <w:t>Entry Requirements</w:t>
      </w:r>
    </w:p>
    <w:p w:rsidR="00000000" w:rsidRPr="000A212A" w:rsidP="00ED7356">
      <w:pPr>
        <w:pStyle w:val="BodyText"/>
      </w:pPr>
      <w:r w:rsidRPr="000A212A">
        <w:t>There are no entry requirements for this qualification.</w:t>
      </w:r>
    </w:p>
    <w:p w:rsidR="00000000" w:rsidRPr="000A212A" w:rsidP="000A212A">
      <w:pPr>
        <w:pStyle w:val="Heading1"/>
      </w:pPr>
      <w:bookmarkStart w:id="4" w:name="O_1202277"/>
      <w:bookmarkEnd w:id="4"/>
      <w:r w:rsidRPr="000A212A">
        <w:t>Packaging Rules</w:t>
      </w:r>
    </w:p>
    <w:p w:rsidR="00000000" w:rsidRPr="000A212A" w:rsidP="00ED7356">
      <w:pPr>
        <w:pStyle w:val="BodyText"/>
      </w:pPr>
      <w:r w:rsidRPr="000A212A">
        <w:t>To be awarded the</w:t>
      </w:r>
      <w:r w:rsidRPr="000A212A">
        <w:t xml:space="preserve"> MSF20313 Certificate II in Furniture Making, competency must be achieved in </w:t>
      </w:r>
      <w:r w:rsidRPr="000A212A">
        <w:rPr>
          <w:rStyle w:val="SpecialBold"/>
        </w:rPr>
        <w:t>thirteen (13)</w:t>
      </w:r>
      <w:r w:rsidRPr="000A212A">
        <w:t xml:space="preserve"> units of competency. </w:t>
      </w:r>
    </w:p>
    <w:p w:rsidR="00000000" w:rsidRPr="000A212A" w:rsidP="000A212A">
      <w:pPr>
        <w:pStyle w:val="ListBullet"/>
      </w:pPr>
      <w:r w:rsidRPr="000A212A">
        <w:rPr>
          <w:rStyle w:val="SpecialBold"/>
        </w:rPr>
        <w:t xml:space="preserve">five (5) </w:t>
      </w:r>
      <w:r w:rsidRPr="000A212A">
        <w:t>core units of competency</w:t>
      </w:r>
    </w:p>
    <w:p w:rsidR="00000000" w:rsidRPr="000A212A" w:rsidP="000A212A">
      <w:pPr>
        <w:pStyle w:val="ListBullet"/>
      </w:pPr>
      <w:r w:rsidRPr="000A212A">
        <w:rPr>
          <w:rStyle w:val="SpecialBold"/>
        </w:rPr>
        <w:t>eight (8)</w:t>
      </w:r>
      <w:r w:rsidRPr="000A212A">
        <w:t xml:space="preserve"> elective units of competency.</w:t>
      </w:r>
    </w:p>
    <w:p w:rsidR="00000000" w:rsidRPr="000A212A" w:rsidP="000A212A">
      <w:pPr>
        <w:pStyle w:val="BodyText"/>
      </w:pPr>
    </w:p>
    <w:p w:rsidR="00000000" w:rsidRPr="000A212A" w:rsidP="00ED7356">
      <w:pPr>
        <w:pStyle w:val="BodyText"/>
      </w:pPr>
      <w:r w:rsidRPr="000A212A">
        <w:t>Note: Units marked with an asterisk have one or more prerequisites and must be considered in the total number of units. Please refer to individual units for details.</w:t>
      </w:r>
    </w:p>
    <w:p w:rsidR="00000000" w:rsidRPr="000A212A" w:rsidP="00ED7356">
      <w:pPr>
        <w:pStyle w:val="Heading3"/>
      </w:pPr>
      <w:r w:rsidRPr="000A212A">
        <w:rPr>
          <w:rStyle w:val="SpecialBold"/>
        </w:rPr>
        <w:t xml:space="preserve">CORE UNITS </w:t>
      </w:r>
    </w:p>
    <w:p w:rsidR="00000000" w:rsidRPr="000A212A" w:rsidP="00ED7356">
      <w:pPr>
        <w:pStyle w:val="BodyText"/>
      </w:pPr>
      <w:r w:rsidRPr="000A212A">
        <w:t xml:space="preserve">Complete all </w:t>
      </w:r>
      <w:r w:rsidRPr="000A212A">
        <w:rPr>
          <w:rStyle w:val="SpecialBold"/>
        </w:rPr>
        <w:t>five (5)</w:t>
      </w:r>
      <w:r w:rsidRPr="000A212A">
        <w:t xml:space="preserve"> units from this list.</w:t>
      </w:r>
    </w:p>
    <w:tbl>
      <w:tblPr>
        <w:tblW w:w="0" w:type="auto"/>
        <w:tblLayout w:type="fixed"/>
        <w:tblCellMar>
          <w:left w:w="62" w:type="dxa"/>
          <w:right w:w="62" w:type="dxa"/>
        </w:tblCellMar>
        <w:tblLook w:val="0000"/>
      </w:tblPr>
      <w:tblGrid>
        <w:gridCol w:w="2070"/>
        <w:gridCol w:w="7020"/>
      </w:tblGrid>
      <w:tr w:rsidTr="000A212A">
        <w:tblPrEx>
          <w:tblW w:w="0" w:type="auto"/>
          <w:tblLayout w:type="fixed"/>
          <w:tblCellMar>
            <w:left w:w="62" w:type="dxa"/>
            <w:right w:w="62" w:type="dxa"/>
          </w:tblCellMar>
          <w:tblLook w:val="0000"/>
        </w:tblPrEx>
        <w:trPr>
          <w:tblHeader/>
        </w:trPr>
        <w:tc>
          <w:tcPr>
            <w:tcW w:w="2070" w:type="dxa"/>
            <w:tcBorders>
              <w:top w:val="nil"/>
              <w:left w:val="nil"/>
              <w:bottom w:val="nil"/>
              <w:right w:val="nil"/>
            </w:tcBorders>
            <w:tcMar>
              <w:top w:w="0" w:type="dxa"/>
              <w:left w:w="62" w:type="dxa"/>
              <w:bottom w:w="0" w:type="dxa"/>
              <w:right w:w="62" w:type="dxa"/>
            </w:tcMar>
          </w:tcPr>
          <w:p w:rsidR="00000000" w:rsidRPr="000A212A" w:rsidP="000A212A">
            <w:pPr>
              <w:pStyle w:val="BodyText"/>
            </w:pPr>
            <w:r w:rsidRPr="000A212A">
              <w:rPr>
                <w:rStyle w:val="SpecialBold"/>
              </w:rPr>
              <w:t>Unit code</w:t>
            </w:r>
          </w:p>
        </w:tc>
        <w:tc>
          <w:tcPr>
            <w:tcW w:w="7020" w:type="dxa"/>
            <w:tcBorders>
              <w:top w:val="nil"/>
              <w:left w:val="nil"/>
              <w:bottom w:val="nil"/>
              <w:right w:val="nil"/>
            </w:tcBorders>
            <w:tcMar>
              <w:top w:w="0" w:type="dxa"/>
              <w:left w:w="62" w:type="dxa"/>
              <w:bottom w:w="0" w:type="dxa"/>
              <w:right w:w="62" w:type="dxa"/>
            </w:tcMar>
          </w:tcPr>
          <w:p w:rsidR="00000000" w:rsidP="000A212A">
            <w:pPr>
              <w:pStyle w:val="BodyText"/>
              <w:rPr>
                <w:lang w:val="en-NZ"/>
              </w:rPr>
            </w:pPr>
            <w:r w:rsidRPr="000A212A">
              <w:rPr>
                <w:rStyle w:val="SpecialBold"/>
              </w:rPr>
              <w:t>Unit title</w:t>
            </w:r>
          </w:p>
        </w:tc>
      </w:tr>
      <w:tr w:rsidTr="000A212A">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0A212A">
            <w:pPr>
              <w:pStyle w:val="BodyText"/>
              <w:rPr>
                <w:lang w:val="en-NZ"/>
              </w:rPr>
            </w:pPr>
            <w:r w:rsidRPr="000A212A">
              <w:t>MSMENV272</w:t>
            </w:r>
          </w:p>
        </w:tc>
        <w:tc>
          <w:tcPr>
            <w:tcW w:w="7020" w:type="dxa"/>
            <w:tcBorders>
              <w:top w:val="nil"/>
              <w:left w:val="nil"/>
              <w:bottom w:val="nil"/>
              <w:right w:val="nil"/>
            </w:tcBorders>
            <w:tcMar>
              <w:top w:w="0" w:type="dxa"/>
              <w:left w:w="62" w:type="dxa"/>
              <w:bottom w:w="0" w:type="dxa"/>
              <w:right w:w="62" w:type="dxa"/>
            </w:tcMar>
          </w:tcPr>
          <w:p w:rsidR="00000000" w:rsidP="000A212A">
            <w:pPr>
              <w:pStyle w:val="BodyText"/>
              <w:rPr>
                <w:lang w:val="en-NZ"/>
              </w:rPr>
            </w:pPr>
            <w:r w:rsidRPr="000A212A">
              <w:t xml:space="preserve">Participate in environmentally sustainable work practices </w:t>
            </w:r>
          </w:p>
        </w:tc>
      </w:tr>
      <w:tr w:rsidTr="000A212A">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0A212A">
            <w:pPr>
              <w:pStyle w:val="BodyText"/>
              <w:rPr>
                <w:lang w:val="en-NZ"/>
              </w:rPr>
            </w:pPr>
            <w:r w:rsidRPr="000A212A">
              <w:t>MSMSUP102</w:t>
            </w:r>
          </w:p>
        </w:tc>
        <w:tc>
          <w:tcPr>
            <w:tcW w:w="7020" w:type="dxa"/>
            <w:tcBorders>
              <w:top w:val="nil"/>
              <w:left w:val="nil"/>
              <w:bottom w:val="nil"/>
              <w:right w:val="nil"/>
            </w:tcBorders>
            <w:tcMar>
              <w:top w:w="0" w:type="dxa"/>
              <w:left w:w="62" w:type="dxa"/>
              <w:bottom w:w="0" w:type="dxa"/>
              <w:right w:w="62" w:type="dxa"/>
            </w:tcMar>
          </w:tcPr>
          <w:p w:rsidR="00000000" w:rsidP="000A212A">
            <w:pPr>
              <w:pStyle w:val="BodyText"/>
              <w:rPr>
                <w:lang w:val="en-NZ"/>
              </w:rPr>
            </w:pPr>
            <w:r w:rsidRPr="000A212A">
              <w:t>Communicate in the workplace</w:t>
            </w:r>
          </w:p>
        </w:tc>
      </w:tr>
      <w:tr w:rsidTr="000A212A">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0A212A">
            <w:pPr>
              <w:pStyle w:val="BodyText"/>
              <w:rPr>
                <w:lang w:val="en-NZ"/>
              </w:rPr>
            </w:pPr>
            <w:r w:rsidRPr="000A212A">
              <w:t>MSMSUP106</w:t>
            </w:r>
          </w:p>
        </w:tc>
        <w:tc>
          <w:tcPr>
            <w:tcW w:w="7020" w:type="dxa"/>
            <w:tcBorders>
              <w:top w:val="nil"/>
              <w:left w:val="nil"/>
              <w:bottom w:val="nil"/>
              <w:right w:val="nil"/>
            </w:tcBorders>
            <w:tcMar>
              <w:top w:w="0" w:type="dxa"/>
              <w:left w:w="62" w:type="dxa"/>
              <w:bottom w:w="0" w:type="dxa"/>
              <w:right w:w="62" w:type="dxa"/>
            </w:tcMar>
          </w:tcPr>
          <w:p w:rsidR="00000000" w:rsidP="000A212A">
            <w:pPr>
              <w:pStyle w:val="BodyText"/>
              <w:rPr>
                <w:lang w:val="en-NZ"/>
              </w:rPr>
            </w:pPr>
            <w:r w:rsidRPr="000A212A">
              <w:t>Work in a team</w:t>
            </w:r>
          </w:p>
        </w:tc>
      </w:tr>
      <w:tr w:rsidTr="000A212A">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0A212A">
            <w:pPr>
              <w:pStyle w:val="BodyText"/>
              <w:rPr>
                <w:lang w:val="en-NZ"/>
              </w:rPr>
            </w:pPr>
            <w:r w:rsidRPr="000A212A">
              <w:t>MSFFM2001</w:t>
            </w:r>
          </w:p>
        </w:tc>
        <w:tc>
          <w:tcPr>
            <w:tcW w:w="7020" w:type="dxa"/>
            <w:tcBorders>
              <w:top w:val="nil"/>
              <w:left w:val="nil"/>
              <w:bottom w:val="nil"/>
              <w:right w:val="nil"/>
            </w:tcBorders>
            <w:tcMar>
              <w:top w:w="0" w:type="dxa"/>
              <w:left w:w="62" w:type="dxa"/>
              <w:bottom w:w="0" w:type="dxa"/>
              <w:right w:w="62" w:type="dxa"/>
            </w:tcMar>
          </w:tcPr>
          <w:p w:rsidR="00000000" w:rsidP="000A212A">
            <w:pPr>
              <w:pStyle w:val="BodyText"/>
              <w:rPr>
                <w:lang w:val="en-NZ"/>
              </w:rPr>
            </w:pPr>
            <w:r w:rsidRPr="000A212A">
              <w:t>Use furniture making sector hand and power tools</w:t>
            </w:r>
          </w:p>
        </w:tc>
      </w:tr>
      <w:tr w:rsidTr="000A212A">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0A212A">
            <w:pPr>
              <w:pStyle w:val="BodyText"/>
              <w:rPr>
                <w:lang w:val="en-NZ"/>
              </w:rPr>
            </w:pPr>
            <w:r w:rsidRPr="000A212A">
              <w:t>MSFGN2001</w:t>
            </w:r>
          </w:p>
        </w:tc>
        <w:tc>
          <w:tcPr>
            <w:tcW w:w="7020" w:type="dxa"/>
            <w:tcBorders>
              <w:top w:val="nil"/>
              <w:left w:val="nil"/>
              <w:bottom w:val="nil"/>
              <w:right w:val="nil"/>
            </w:tcBorders>
            <w:tcMar>
              <w:top w:w="0" w:type="dxa"/>
              <w:left w:w="62" w:type="dxa"/>
              <w:bottom w:w="0" w:type="dxa"/>
              <w:right w:w="62" w:type="dxa"/>
            </w:tcMar>
          </w:tcPr>
          <w:p w:rsidR="00000000" w:rsidRPr="000A212A" w:rsidP="000A212A">
            <w:pPr>
              <w:pStyle w:val="BodyText"/>
            </w:pPr>
            <w:r w:rsidRPr="000A212A">
              <w:t>Make measurements and calculations</w:t>
            </w:r>
          </w:p>
        </w:tc>
      </w:tr>
    </w:tbl>
    <w:p w:rsidR="00000000" w:rsidRPr="000A212A" w:rsidP="000A212A">
      <w:pPr>
        <w:pStyle w:val="BodyText"/>
      </w:pPr>
    </w:p>
    <w:p w:rsidR="00000000" w:rsidRPr="000A212A" w:rsidP="00ED7356">
      <w:pPr>
        <w:pStyle w:val="Heading3"/>
      </w:pPr>
      <w:r w:rsidRPr="000A212A">
        <w:rPr>
          <w:rStyle w:val="SpecialBold"/>
        </w:rPr>
        <w:t xml:space="preserve">ELECTIVE UNITS </w:t>
      </w:r>
    </w:p>
    <w:p w:rsidR="00000000" w:rsidRPr="000A212A" w:rsidP="00ED7356">
      <w:pPr>
        <w:pStyle w:val="BodyText"/>
      </w:pPr>
      <w:r w:rsidRPr="000A212A">
        <w:t>Select</w:t>
      </w:r>
      <w:r w:rsidRPr="000A212A">
        <w:rPr>
          <w:rStyle w:val="SpecialBold"/>
        </w:rPr>
        <w:t xml:space="preserve"> eight (8)</w:t>
      </w:r>
      <w:r w:rsidRPr="000A212A">
        <w:t xml:space="preserve"> unit from Groups A, B or C as specified below.</w:t>
      </w:r>
    </w:p>
    <w:p w:rsidR="00000000" w:rsidRPr="000A212A" w:rsidP="00ED7356">
      <w:pPr>
        <w:pStyle w:val="Heading4"/>
      </w:pPr>
      <w:r w:rsidRPr="000A212A">
        <w:rPr>
          <w:rStyle w:val="SpecialBold"/>
        </w:rPr>
        <w:t>Group A</w:t>
      </w:r>
    </w:p>
    <w:p w:rsidR="00000000" w:rsidRPr="000A212A" w:rsidP="00ED7356">
      <w:pPr>
        <w:pStyle w:val="BodyText"/>
      </w:pPr>
      <w:r w:rsidRPr="000A212A">
        <w:t xml:space="preserve">Select </w:t>
      </w:r>
      <w:r w:rsidRPr="000A212A">
        <w:rPr>
          <w:rStyle w:val="SpecialBold"/>
        </w:rPr>
        <w:t xml:space="preserve">one (1) </w:t>
      </w:r>
      <w:r w:rsidRPr="000A212A">
        <w:t xml:space="preserve"> unit only from Group A.</w:t>
      </w:r>
    </w:p>
    <w:tbl>
      <w:tblPr>
        <w:tblW w:w="0" w:type="auto"/>
        <w:tblLayout w:type="fixed"/>
        <w:tblCellMar>
          <w:left w:w="62" w:type="dxa"/>
          <w:right w:w="62" w:type="dxa"/>
        </w:tblCellMar>
        <w:tblLook w:val="0000"/>
      </w:tblPr>
      <w:tblGrid>
        <w:gridCol w:w="2070"/>
        <w:gridCol w:w="7020"/>
      </w:tblGrid>
      <w:tr w:rsidTr="00ED7356">
        <w:tblPrEx>
          <w:tblW w:w="0" w:type="auto"/>
          <w:tblLayout w:type="fixed"/>
          <w:tblCellMar>
            <w:left w:w="62" w:type="dxa"/>
            <w:right w:w="62" w:type="dxa"/>
          </w:tblCellMar>
          <w:tblLook w:val="0000"/>
        </w:tblPrEx>
        <w:trPr>
          <w:tblHeader/>
        </w:trPr>
        <w:tc>
          <w:tcPr>
            <w:tcW w:w="2070" w:type="dxa"/>
            <w:tcBorders>
              <w:top w:val="nil"/>
              <w:left w:val="nil"/>
              <w:bottom w:val="nil"/>
              <w:right w:val="nil"/>
            </w:tcBorders>
            <w:tcMar>
              <w:top w:w="0" w:type="dxa"/>
              <w:left w:w="62" w:type="dxa"/>
              <w:bottom w:w="0" w:type="dxa"/>
              <w:right w:w="62" w:type="dxa"/>
            </w:tcMar>
          </w:tcPr>
          <w:p w:rsidR="00000000" w:rsidRPr="000A212A" w:rsidP="000A212A">
            <w:pPr>
              <w:pStyle w:val="BodyText"/>
            </w:pPr>
            <w:r w:rsidRPr="000A212A">
              <w:rPr>
                <w:rStyle w:val="SpecialBold"/>
              </w:rPr>
              <w:t>Unit code</w:t>
            </w:r>
          </w:p>
        </w:tc>
        <w:tc>
          <w:tcPr>
            <w:tcW w:w="7020" w:type="dxa"/>
            <w:tcBorders>
              <w:top w:val="nil"/>
              <w:left w:val="nil"/>
              <w:bottom w:val="nil"/>
              <w:right w:val="nil"/>
            </w:tcBorders>
            <w:tcMar>
              <w:top w:w="0" w:type="dxa"/>
              <w:left w:w="62" w:type="dxa"/>
              <w:bottom w:w="0" w:type="dxa"/>
              <w:right w:w="62" w:type="dxa"/>
            </w:tcMar>
          </w:tcPr>
          <w:p w:rsidR="00000000" w:rsidP="000A212A">
            <w:pPr>
              <w:pStyle w:val="BodyText"/>
              <w:rPr>
                <w:lang w:val="en-NZ"/>
              </w:rPr>
            </w:pPr>
            <w:r w:rsidRPr="000A212A">
              <w:rPr>
                <w:rStyle w:val="SpecialBold"/>
              </w:rPr>
              <w:t>Unit title</w:t>
            </w:r>
          </w:p>
        </w:tc>
      </w:tr>
      <w:tr w:rsidTr="00ED7356">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0A212A">
            <w:pPr>
              <w:pStyle w:val="BodyText"/>
              <w:rPr>
                <w:lang w:val="en-NZ"/>
              </w:rPr>
            </w:pPr>
            <w:r w:rsidRPr="000A212A">
              <w:t>CPCWHS1001</w:t>
            </w:r>
          </w:p>
        </w:tc>
        <w:tc>
          <w:tcPr>
            <w:tcW w:w="7020" w:type="dxa"/>
            <w:tcBorders>
              <w:top w:val="nil"/>
              <w:left w:val="nil"/>
              <w:bottom w:val="nil"/>
              <w:right w:val="nil"/>
            </w:tcBorders>
            <w:tcMar>
              <w:top w:w="0" w:type="dxa"/>
              <w:left w:w="62" w:type="dxa"/>
              <w:bottom w:w="0" w:type="dxa"/>
              <w:right w:w="62" w:type="dxa"/>
            </w:tcMar>
          </w:tcPr>
          <w:p w:rsidR="00000000" w:rsidP="000A212A">
            <w:pPr>
              <w:pStyle w:val="BodyText"/>
              <w:rPr>
                <w:lang w:val="en-NZ"/>
              </w:rPr>
            </w:pPr>
            <w:r w:rsidRPr="000A212A">
              <w:t>Prepare to work safely in the construction industry</w:t>
            </w:r>
          </w:p>
        </w:tc>
      </w:tr>
      <w:tr w:rsidTr="00ED7356">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020" w:type="dxa"/>
            <w:tcBorders>
              <w:top w:val="nil"/>
              <w:left w:val="nil"/>
              <w:bottom w:val="nil"/>
              <w:right w:val="nil"/>
            </w:tcBorders>
            <w:tcMar>
              <w:top w:w="0" w:type="dxa"/>
              <w:left w:w="62" w:type="dxa"/>
              <w:bottom w:w="0" w:type="dxa"/>
              <w:right w:w="62" w:type="dxa"/>
            </w:tcMar>
          </w:tcPr>
          <w:p w:rsidR="00000000" w:rsidP="000A212A">
            <w:pPr>
              <w:pStyle w:val="BodyText"/>
              <w:rPr>
                <w:lang w:val="en-NZ"/>
              </w:rPr>
            </w:pPr>
            <w:r w:rsidRPr="000A212A">
              <w:t>OR</w:t>
            </w:r>
          </w:p>
        </w:tc>
      </w:tr>
      <w:tr w:rsidTr="00ED7356">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0A212A">
            <w:pPr>
              <w:pStyle w:val="BodyText"/>
              <w:rPr>
                <w:lang w:val="en-NZ"/>
              </w:rPr>
            </w:pPr>
            <w:r w:rsidRPr="000A212A">
              <w:t>MSMWHS200</w:t>
            </w:r>
          </w:p>
        </w:tc>
        <w:tc>
          <w:tcPr>
            <w:tcW w:w="7020" w:type="dxa"/>
            <w:tcBorders>
              <w:top w:val="nil"/>
              <w:left w:val="nil"/>
              <w:bottom w:val="nil"/>
              <w:right w:val="nil"/>
            </w:tcBorders>
            <w:tcMar>
              <w:top w:w="0" w:type="dxa"/>
              <w:left w:w="62" w:type="dxa"/>
              <w:bottom w:w="0" w:type="dxa"/>
              <w:right w:w="62" w:type="dxa"/>
            </w:tcMar>
          </w:tcPr>
          <w:p w:rsidR="00000000" w:rsidRPr="000A212A" w:rsidP="000A212A">
            <w:pPr>
              <w:pStyle w:val="BodyText"/>
            </w:pPr>
            <w:r w:rsidRPr="000A212A">
              <w:t>Work safely</w:t>
            </w:r>
          </w:p>
        </w:tc>
      </w:tr>
    </w:tbl>
    <w:p w:rsidR="00000000" w:rsidRPr="000A212A" w:rsidP="000A212A">
      <w:pPr>
        <w:pStyle w:val="BodyText"/>
      </w:pPr>
    </w:p>
    <w:p w:rsidR="00000000" w:rsidRPr="000A212A" w:rsidP="00ED7356">
      <w:pPr>
        <w:pStyle w:val="BodyText"/>
      </w:pPr>
      <w:r w:rsidRPr="000A212A">
        <w:rPr>
          <w:rStyle w:val="SpecialBold"/>
        </w:rPr>
        <w:t>NB:</w:t>
      </w:r>
      <w:r w:rsidRPr="000A212A">
        <w:t xml:space="preserve"> Unit CPCWHS1001 Prepare to</w:t>
      </w:r>
      <w:r w:rsidRPr="000A212A">
        <w:t xml:space="preserve"> work safely in the construction industry above is necessary to achieve a National Construction Safety Card required for all on-site work access.</w:t>
      </w:r>
    </w:p>
    <w:p w:rsidR="00000000" w:rsidRPr="000A212A" w:rsidP="00ED7356">
      <w:pPr>
        <w:pStyle w:val="Heading4"/>
      </w:pPr>
      <w:r w:rsidRPr="000A212A">
        <w:rPr>
          <w:rStyle w:val="SpecialBold"/>
        </w:rPr>
        <w:t>Group B</w:t>
      </w:r>
    </w:p>
    <w:p w:rsidR="00000000" w:rsidRPr="000A212A" w:rsidP="00ED7356">
      <w:pPr>
        <w:pStyle w:val="BodyText"/>
      </w:pPr>
      <w:r w:rsidRPr="000A212A">
        <w:t xml:space="preserve">Select a minimum of </w:t>
      </w:r>
      <w:r w:rsidRPr="000A212A">
        <w:rPr>
          <w:rStyle w:val="SpecialBold"/>
        </w:rPr>
        <w:t>four (4)</w:t>
      </w:r>
      <w:r w:rsidRPr="000A212A">
        <w:t xml:space="preserve"> units from Group B with a maximum of</w:t>
      </w:r>
      <w:r w:rsidRPr="000A212A">
        <w:rPr>
          <w:rStyle w:val="SpecialBold"/>
        </w:rPr>
        <w:t xml:space="preserve"> two (2)</w:t>
      </w:r>
      <w:r w:rsidRPr="000A212A">
        <w:t xml:space="preserve"> units coded MSS.</w:t>
      </w:r>
    </w:p>
    <w:tbl>
      <w:tblPr>
        <w:tblW w:w="0" w:type="auto"/>
        <w:tblLayout w:type="fixed"/>
        <w:tblCellMar>
          <w:left w:w="62" w:type="dxa"/>
          <w:right w:w="62" w:type="dxa"/>
        </w:tblCellMar>
        <w:tblLook w:val="0000"/>
      </w:tblPr>
      <w:tblGrid>
        <w:gridCol w:w="2070"/>
        <w:gridCol w:w="7110"/>
      </w:tblGrid>
      <w:tr w:rsidTr="000A212A">
        <w:tblPrEx>
          <w:tblW w:w="0" w:type="auto"/>
          <w:tblLayout w:type="fixed"/>
          <w:tblCellMar>
            <w:left w:w="62" w:type="dxa"/>
            <w:right w:w="62" w:type="dxa"/>
          </w:tblCellMar>
          <w:tblLook w:val="0000"/>
        </w:tblPrEx>
        <w:trPr>
          <w:tblHeader/>
        </w:trPr>
        <w:tc>
          <w:tcPr>
            <w:tcW w:w="2070" w:type="dxa"/>
            <w:tcBorders>
              <w:top w:val="nil"/>
              <w:left w:val="nil"/>
              <w:bottom w:val="nil"/>
              <w:right w:val="nil"/>
            </w:tcBorders>
            <w:tcMar>
              <w:top w:w="0" w:type="dxa"/>
              <w:left w:w="62" w:type="dxa"/>
              <w:bottom w:w="0" w:type="dxa"/>
              <w:right w:w="62" w:type="dxa"/>
            </w:tcMar>
          </w:tcPr>
          <w:p w:rsidR="00000000" w:rsidRPr="000A212A" w:rsidP="000A212A">
            <w:pPr>
              <w:pStyle w:val="BodyText"/>
            </w:pPr>
            <w:r w:rsidRPr="000A212A">
              <w:rPr>
                <w:rStyle w:val="SpecialBold"/>
              </w:rPr>
              <w:t>Unit code</w:t>
            </w:r>
          </w:p>
        </w:tc>
        <w:tc>
          <w:tcPr>
            <w:tcW w:w="7110" w:type="dxa"/>
            <w:tcBorders>
              <w:top w:val="nil"/>
              <w:left w:val="nil"/>
              <w:bottom w:val="nil"/>
              <w:right w:val="nil"/>
            </w:tcBorders>
            <w:tcMar>
              <w:top w:w="0" w:type="dxa"/>
              <w:left w:w="62" w:type="dxa"/>
              <w:bottom w:w="0" w:type="dxa"/>
              <w:right w:w="62" w:type="dxa"/>
            </w:tcMar>
          </w:tcPr>
          <w:p w:rsidR="00000000" w:rsidP="000A212A">
            <w:pPr>
              <w:pStyle w:val="BodyText"/>
              <w:rPr>
                <w:lang w:val="en-NZ"/>
              </w:rPr>
            </w:pPr>
            <w:r w:rsidRPr="000A212A">
              <w:rPr>
                <w:rStyle w:val="SpecialBold"/>
              </w:rPr>
              <w:t>Unit title</w:t>
            </w:r>
          </w:p>
        </w:tc>
      </w:tr>
      <w:tr w:rsidTr="000A212A">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0A212A">
            <w:pPr>
              <w:pStyle w:val="BodyText"/>
              <w:rPr>
                <w:lang w:val="en-NZ"/>
              </w:rPr>
            </w:pPr>
            <w:r w:rsidRPr="000A212A">
              <w:t>MEM16008A</w:t>
            </w:r>
          </w:p>
        </w:tc>
        <w:tc>
          <w:tcPr>
            <w:tcW w:w="7110" w:type="dxa"/>
            <w:tcBorders>
              <w:top w:val="nil"/>
              <w:left w:val="nil"/>
              <w:bottom w:val="nil"/>
              <w:right w:val="nil"/>
            </w:tcBorders>
            <w:tcMar>
              <w:top w:w="0" w:type="dxa"/>
              <w:left w:w="62" w:type="dxa"/>
              <w:bottom w:w="0" w:type="dxa"/>
              <w:right w:w="62" w:type="dxa"/>
            </w:tcMar>
          </w:tcPr>
          <w:p w:rsidR="00000000" w:rsidP="000A212A">
            <w:pPr>
              <w:pStyle w:val="BodyText"/>
              <w:rPr>
                <w:lang w:val="en-NZ"/>
              </w:rPr>
            </w:pPr>
            <w:r w:rsidRPr="000A212A">
              <w:t xml:space="preserve">Interact with computing technology </w:t>
            </w:r>
          </w:p>
        </w:tc>
      </w:tr>
      <w:tr w:rsidTr="000A212A">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0A212A">
            <w:pPr>
              <w:pStyle w:val="BodyText"/>
              <w:rPr>
                <w:lang w:val="en-NZ"/>
              </w:rPr>
            </w:pPr>
            <w:r w:rsidRPr="000A212A">
              <w:t>MSAPMSUP201A</w:t>
            </w:r>
          </w:p>
        </w:tc>
        <w:tc>
          <w:tcPr>
            <w:tcW w:w="7110" w:type="dxa"/>
            <w:tcBorders>
              <w:top w:val="nil"/>
              <w:left w:val="nil"/>
              <w:bottom w:val="nil"/>
              <w:right w:val="nil"/>
            </w:tcBorders>
            <w:tcMar>
              <w:top w:w="0" w:type="dxa"/>
              <w:left w:w="62" w:type="dxa"/>
              <w:bottom w:w="0" w:type="dxa"/>
              <w:right w:w="62" w:type="dxa"/>
            </w:tcMar>
          </w:tcPr>
          <w:p w:rsidR="00000000" w:rsidP="000A212A">
            <w:pPr>
              <w:pStyle w:val="BodyText"/>
              <w:rPr>
                <w:lang w:val="en-NZ"/>
              </w:rPr>
            </w:pPr>
            <w:r w:rsidRPr="000A212A">
              <w:t>Receive or despatch goods</w:t>
            </w:r>
          </w:p>
        </w:tc>
      </w:tr>
      <w:tr w:rsidTr="000A212A">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0A212A">
            <w:pPr>
              <w:pStyle w:val="BodyText"/>
              <w:rPr>
                <w:lang w:val="en-NZ"/>
              </w:rPr>
            </w:pPr>
            <w:r w:rsidRPr="000A212A">
              <w:t>MSMSUP240</w:t>
            </w:r>
          </w:p>
        </w:tc>
        <w:tc>
          <w:tcPr>
            <w:tcW w:w="7110" w:type="dxa"/>
            <w:tcBorders>
              <w:top w:val="nil"/>
              <w:left w:val="nil"/>
              <w:bottom w:val="nil"/>
              <w:right w:val="nil"/>
            </w:tcBorders>
            <w:tcMar>
              <w:top w:w="0" w:type="dxa"/>
              <w:left w:w="62" w:type="dxa"/>
              <w:bottom w:w="0" w:type="dxa"/>
              <w:right w:w="62" w:type="dxa"/>
            </w:tcMar>
          </w:tcPr>
          <w:p w:rsidR="00000000" w:rsidP="000A212A">
            <w:pPr>
              <w:pStyle w:val="BodyText"/>
              <w:rPr>
                <w:lang w:val="en-NZ"/>
              </w:rPr>
            </w:pPr>
            <w:r w:rsidRPr="000A212A">
              <w:t>Undertake minor maintenance</w:t>
            </w:r>
          </w:p>
        </w:tc>
      </w:tr>
      <w:tr w:rsidTr="000A212A">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0A212A">
            <w:pPr>
              <w:pStyle w:val="BodyText"/>
              <w:rPr>
                <w:lang w:val="en-NZ"/>
              </w:rPr>
            </w:pPr>
            <w:r w:rsidRPr="000A212A">
              <w:t>MSMSUP273</w:t>
            </w:r>
          </w:p>
        </w:tc>
        <w:tc>
          <w:tcPr>
            <w:tcW w:w="7110" w:type="dxa"/>
            <w:tcBorders>
              <w:top w:val="nil"/>
              <w:left w:val="nil"/>
              <w:bottom w:val="nil"/>
              <w:right w:val="nil"/>
            </w:tcBorders>
            <w:tcMar>
              <w:top w:w="0" w:type="dxa"/>
              <w:left w:w="62" w:type="dxa"/>
              <w:bottom w:w="0" w:type="dxa"/>
              <w:right w:w="62" w:type="dxa"/>
            </w:tcMar>
          </w:tcPr>
          <w:p w:rsidR="00000000" w:rsidP="000A212A">
            <w:pPr>
              <w:pStyle w:val="BodyText"/>
              <w:rPr>
                <w:lang w:val="en-NZ"/>
              </w:rPr>
            </w:pPr>
            <w:r w:rsidRPr="000A212A">
              <w:t>Handle goods</w:t>
            </w:r>
          </w:p>
        </w:tc>
      </w:tr>
      <w:tr w:rsidTr="000A212A">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0A212A">
            <w:pPr>
              <w:pStyle w:val="BodyText"/>
              <w:rPr>
                <w:lang w:val="en-NZ"/>
              </w:rPr>
            </w:pPr>
            <w:r w:rsidRPr="000A212A">
              <w:t>MSFFF2004</w:t>
            </w:r>
          </w:p>
        </w:tc>
        <w:tc>
          <w:tcPr>
            <w:tcW w:w="7110" w:type="dxa"/>
            <w:tcBorders>
              <w:top w:val="nil"/>
              <w:left w:val="nil"/>
              <w:bottom w:val="nil"/>
              <w:right w:val="nil"/>
            </w:tcBorders>
            <w:tcMar>
              <w:top w:w="0" w:type="dxa"/>
              <w:left w:w="62" w:type="dxa"/>
              <w:bottom w:w="0" w:type="dxa"/>
              <w:right w:w="62" w:type="dxa"/>
            </w:tcMar>
          </w:tcPr>
          <w:p w:rsidR="00000000" w:rsidP="000A212A">
            <w:pPr>
              <w:pStyle w:val="BodyText"/>
              <w:rPr>
                <w:lang w:val="en-NZ"/>
              </w:rPr>
            </w:pPr>
            <w:r w:rsidRPr="000A212A">
              <w:t>Prepare surfaces for finishing</w:t>
            </w:r>
          </w:p>
        </w:tc>
      </w:tr>
      <w:tr w:rsidTr="000A212A">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0A212A">
            <w:pPr>
              <w:pStyle w:val="BodyText"/>
              <w:rPr>
                <w:lang w:val="en-NZ"/>
              </w:rPr>
            </w:pPr>
            <w:r w:rsidRPr="000A212A">
              <w:t>MSFFF2006</w:t>
            </w:r>
          </w:p>
        </w:tc>
        <w:tc>
          <w:tcPr>
            <w:tcW w:w="7110" w:type="dxa"/>
            <w:tcBorders>
              <w:top w:val="nil"/>
              <w:left w:val="nil"/>
              <w:bottom w:val="nil"/>
              <w:right w:val="nil"/>
            </w:tcBorders>
            <w:tcMar>
              <w:top w:w="0" w:type="dxa"/>
              <w:left w:w="62" w:type="dxa"/>
              <w:bottom w:w="0" w:type="dxa"/>
              <w:right w:w="62" w:type="dxa"/>
            </w:tcMar>
          </w:tcPr>
          <w:p w:rsidR="00000000" w:rsidP="000A212A">
            <w:pPr>
              <w:pStyle w:val="BodyText"/>
              <w:rPr>
                <w:lang w:val="en-NZ"/>
              </w:rPr>
            </w:pPr>
            <w:r w:rsidRPr="000A212A">
              <w:t>Apply surface coatings by spray gun</w:t>
            </w:r>
          </w:p>
        </w:tc>
      </w:tr>
      <w:tr w:rsidTr="000A212A">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0A212A">
            <w:pPr>
              <w:pStyle w:val="BodyText"/>
              <w:rPr>
                <w:lang w:val="en-NZ"/>
              </w:rPr>
            </w:pPr>
            <w:r w:rsidRPr="000A212A">
              <w:t>MSFFM2002</w:t>
            </w:r>
          </w:p>
        </w:tc>
        <w:tc>
          <w:tcPr>
            <w:tcW w:w="7110" w:type="dxa"/>
            <w:tcBorders>
              <w:top w:val="nil"/>
              <w:left w:val="nil"/>
              <w:bottom w:val="nil"/>
              <w:right w:val="nil"/>
            </w:tcBorders>
            <w:tcMar>
              <w:top w:w="0" w:type="dxa"/>
              <w:left w:w="62" w:type="dxa"/>
              <w:bottom w:w="0" w:type="dxa"/>
              <w:right w:w="62" w:type="dxa"/>
            </w:tcMar>
          </w:tcPr>
          <w:p w:rsidR="00000000" w:rsidP="000A212A">
            <w:pPr>
              <w:pStyle w:val="BodyText"/>
              <w:rPr>
                <w:lang w:val="en-NZ"/>
              </w:rPr>
            </w:pPr>
            <w:r w:rsidRPr="000A212A">
              <w:t>Assemble furnishing components</w:t>
            </w:r>
          </w:p>
        </w:tc>
      </w:tr>
      <w:tr w:rsidTr="000A212A">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0A212A">
            <w:pPr>
              <w:pStyle w:val="BodyText"/>
              <w:rPr>
                <w:lang w:val="en-NZ"/>
              </w:rPr>
            </w:pPr>
            <w:r w:rsidRPr="000A212A">
              <w:t>MSFFM2003</w:t>
            </w:r>
          </w:p>
        </w:tc>
        <w:tc>
          <w:tcPr>
            <w:tcW w:w="7110" w:type="dxa"/>
            <w:tcBorders>
              <w:top w:val="nil"/>
              <w:left w:val="nil"/>
              <w:bottom w:val="nil"/>
              <w:right w:val="nil"/>
            </w:tcBorders>
            <w:tcMar>
              <w:top w:w="0" w:type="dxa"/>
              <w:left w:w="62" w:type="dxa"/>
              <w:bottom w:w="0" w:type="dxa"/>
              <w:right w:w="62" w:type="dxa"/>
            </w:tcMar>
          </w:tcPr>
          <w:p w:rsidR="00000000" w:rsidP="000A212A">
            <w:pPr>
              <w:pStyle w:val="BodyText"/>
              <w:rPr>
                <w:lang w:val="en-NZ"/>
              </w:rPr>
            </w:pPr>
            <w:r w:rsidRPr="000A212A">
              <w:t>Select and apply hardware</w:t>
            </w:r>
          </w:p>
        </w:tc>
      </w:tr>
      <w:tr w:rsidTr="000A212A">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0A212A">
            <w:pPr>
              <w:pStyle w:val="BodyText"/>
              <w:rPr>
                <w:lang w:val="en-NZ"/>
              </w:rPr>
            </w:pPr>
            <w:r w:rsidRPr="000A212A">
              <w:t>MSFFM2004</w:t>
            </w:r>
          </w:p>
        </w:tc>
        <w:tc>
          <w:tcPr>
            <w:tcW w:w="7110" w:type="dxa"/>
            <w:tcBorders>
              <w:top w:val="nil"/>
              <w:left w:val="nil"/>
              <w:bottom w:val="nil"/>
              <w:right w:val="nil"/>
            </w:tcBorders>
            <w:tcMar>
              <w:top w:w="0" w:type="dxa"/>
              <w:left w:w="62" w:type="dxa"/>
              <w:bottom w:w="0" w:type="dxa"/>
              <w:right w:w="62" w:type="dxa"/>
            </w:tcMar>
          </w:tcPr>
          <w:p w:rsidR="00000000" w:rsidP="000A212A">
            <w:pPr>
              <w:pStyle w:val="BodyText"/>
              <w:rPr>
                <w:lang w:val="en-NZ"/>
              </w:rPr>
            </w:pPr>
            <w:r w:rsidRPr="000A212A">
              <w:t>Apply sheet laminates by hand</w:t>
            </w:r>
          </w:p>
        </w:tc>
      </w:tr>
      <w:tr w:rsidTr="000A212A">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0A212A">
            <w:pPr>
              <w:pStyle w:val="BodyText"/>
              <w:rPr>
                <w:lang w:val="en-NZ"/>
              </w:rPr>
            </w:pPr>
            <w:r w:rsidRPr="000A212A">
              <w:t>MSFFM2005</w:t>
            </w:r>
          </w:p>
        </w:tc>
        <w:tc>
          <w:tcPr>
            <w:tcW w:w="7110" w:type="dxa"/>
            <w:tcBorders>
              <w:top w:val="nil"/>
              <w:left w:val="nil"/>
              <w:bottom w:val="nil"/>
              <w:right w:val="nil"/>
            </w:tcBorders>
            <w:tcMar>
              <w:top w:w="0" w:type="dxa"/>
              <w:left w:w="62" w:type="dxa"/>
              <w:bottom w:w="0" w:type="dxa"/>
              <w:right w:w="62" w:type="dxa"/>
            </w:tcMar>
          </w:tcPr>
          <w:p w:rsidR="00000000" w:rsidP="000A212A">
            <w:pPr>
              <w:pStyle w:val="BodyText"/>
              <w:rPr>
                <w:lang w:val="en-NZ"/>
              </w:rPr>
            </w:pPr>
            <w:r w:rsidRPr="000A212A">
              <w:t>Join solid timber</w:t>
            </w:r>
          </w:p>
        </w:tc>
      </w:tr>
      <w:tr w:rsidTr="000A212A">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0A212A">
            <w:pPr>
              <w:pStyle w:val="BodyText"/>
              <w:rPr>
                <w:lang w:val="en-NZ"/>
              </w:rPr>
            </w:pPr>
            <w:r w:rsidRPr="000A212A">
              <w:t>MSFFM2006</w:t>
            </w:r>
          </w:p>
        </w:tc>
        <w:tc>
          <w:tcPr>
            <w:tcW w:w="7110" w:type="dxa"/>
            <w:tcBorders>
              <w:top w:val="nil"/>
              <w:left w:val="nil"/>
              <w:bottom w:val="nil"/>
              <w:right w:val="nil"/>
            </w:tcBorders>
            <w:tcMar>
              <w:top w:w="0" w:type="dxa"/>
              <w:left w:w="62" w:type="dxa"/>
              <w:bottom w:w="0" w:type="dxa"/>
              <w:right w:w="62" w:type="dxa"/>
            </w:tcMar>
          </w:tcPr>
          <w:p w:rsidR="00000000" w:rsidP="000A212A">
            <w:pPr>
              <w:pStyle w:val="BodyText"/>
              <w:rPr>
                <w:lang w:val="en-NZ"/>
              </w:rPr>
            </w:pPr>
            <w:r w:rsidRPr="000A212A">
              <w:t>Hand make timber joints</w:t>
            </w:r>
          </w:p>
        </w:tc>
      </w:tr>
      <w:tr w:rsidTr="000A212A">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0A212A">
            <w:pPr>
              <w:pStyle w:val="BodyText"/>
              <w:rPr>
                <w:lang w:val="en-NZ"/>
              </w:rPr>
            </w:pPr>
            <w:r w:rsidRPr="000A212A">
              <w:t>MSFFM2007</w:t>
            </w:r>
          </w:p>
        </w:tc>
        <w:tc>
          <w:tcPr>
            <w:tcW w:w="7110" w:type="dxa"/>
            <w:tcBorders>
              <w:top w:val="nil"/>
              <w:left w:val="nil"/>
              <w:bottom w:val="nil"/>
              <w:right w:val="nil"/>
            </w:tcBorders>
            <w:tcMar>
              <w:top w:w="0" w:type="dxa"/>
              <w:left w:w="62" w:type="dxa"/>
              <w:bottom w:w="0" w:type="dxa"/>
              <w:right w:w="62" w:type="dxa"/>
            </w:tcMar>
          </w:tcPr>
          <w:p w:rsidR="00000000" w:rsidP="000A212A">
            <w:pPr>
              <w:pStyle w:val="BodyText"/>
              <w:rPr>
                <w:lang w:val="en-NZ"/>
              </w:rPr>
            </w:pPr>
            <w:r w:rsidRPr="000A212A">
              <w:t>Follow plans to assemble production furniture</w:t>
            </w:r>
          </w:p>
        </w:tc>
      </w:tr>
      <w:tr w:rsidTr="000A212A">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0A212A">
            <w:pPr>
              <w:pStyle w:val="BodyText"/>
              <w:rPr>
                <w:lang w:val="en-NZ"/>
              </w:rPr>
            </w:pPr>
            <w:r w:rsidRPr="000A212A">
              <w:t>MSFFM2008</w:t>
            </w:r>
          </w:p>
        </w:tc>
        <w:tc>
          <w:tcPr>
            <w:tcW w:w="7110" w:type="dxa"/>
            <w:tcBorders>
              <w:top w:val="nil"/>
              <w:left w:val="nil"/>
              <w:bottom w:val="nil"/>
              <w:right w:val="nil"/>
            </w:tcBorders>
            <w:tcMar>
              <w:top w:w="0" w:type="dxa"/>
              <w:left w:w="62" w:type="dxa"/>
              <w:bottom w:w="0" w:type="dxa"/>
              <w:right w:w="62" w:type="dxa"/>
            </w:tcMar>
          </w:tcPr>
          <w:p w:rsidR="00000000" w:rsidP="000A212A">
            <w:pPr>
              <w:pStyle w:val="BodyText"/>
              <w:rPr>
                <w:lang w:val="en-NZ"/>
              </w:rPr>
            </w:pPr>
            <w:r w:rsidRPr="000A212A">
              <w:t>Bend and form cane</w:t>
            </w:r>
          </w:p>
        </w:tc>
      </w:tr>
      <w:tr w:rsidTr="000A212A">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0A212A">
            <w:pPr>
              <w:pStyle w:val="BodyText"/>
              <w:rPr>
                <w:lang w:val="en-NZ"/>
              </w:rPr>
            </w:pPr>
            <w:r w:rsidRPr="000A212A">
              <w:t>MSFFM2009</w:t>
            </w:r>
          </w:p>
        </w:tc>
        <w:tc>
          <w:tcPr>
            <w:tcW w:w="7110" w:type="dxa"/>
            <w:tcBorders>
              <w:top w:val="nil"/>
              <w:left w:val="nil"/>
              <w:bottom w:val="nil"/>
              <w:right w:val="nil"/>
            </w:tcBorders>
            <w:tcMar>
              <w:top w:w="0" w:type="dxa"/>
              <w:left w:w="62" w:type="dxa"/>
              <w:bottom w:w="0" w:type="dxa"/>
              <w:right w:w="62" w:type="dxa"/>
            </w:tcMar>
          </w:tcPr>
          <w:p w:rsidR="00000000" w:rsidP="000A212A">
            <w:pPr>
              <w:pStyle w:val="BodyText"/>
              <w:rPr>
                <w:lang w:val="en-NZ"/>
              </w:rPr>
            </w:pPr>
            <w:r w:rsidRPr="000A212A">
              <w:t>Construct cane furniture</w:t>
            </w:r>
          </w:p>
        </w:tc>
      </w:tr>
      <w:tr w:rsidTr="000A212A">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0A212A">
            <w:pPr>
              <w:pStyle w:val="BodyText"/>
              <w:rPr>
                <w:lang w:val="en-NZ"/>
              </w:rPr>
            </w:pPr>
            <w:r w:rsidRPr="000A212A">
              <w:t>MSFFM2010</w:t>
            </w:r>
          </w:p>
        </w:tc>
        <w:tc>
          <w:tcPr>
            <w:tcW w:w="7110" w:type="dxa"/>
            <w:tcBorders>
              <w:top w:val="nil"/>
              <w:left w:val="nil"/>
              <w:bottom w:val="nil"/>
              <w:right w:val="nil"/>
            </w:tcBorders>
            <w:tcMar>
              <w:top w:w="0" w:type="dxa"/>
              <w:left w:w="62" w:type="dxa"/>
              <w:bottom w:w="0" w:type="dxa"/>
              <w:right w:w="62" w:type="dxa"/>
            </w:tcMar>
          </w:tcPr>
          <w:p w:rsidR="00000000" w:rsidP="000A212A">
            <w:pPr>
              <w:pStyle w:val="BodyText"/>
              <w:rPr>
                <w:lang w:val="en-NZ"/>
              </w:rPr>
            </w:pPr>
            <w:r w:rsidRPr="000A212A">
              <w:t>Set up and operate basic static machines</w:t>
            </w:r>
          </w:p>
        </w:tc>
      </w:tr>
      <w:tr w:rsidTr="000A212A">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0A212A">
            <w:pPr>
              <w:pStyle w:val="BodyText"/>
              <w:rPr>
                <w:lang w:val="en-NZ"/>
              </w:rPr>
            </w:pPr>
            <w:r w:rsidRPr="000A212A">
              <w:t>MSFFM2011</w:t>
            </w:r>
          </w:p>
        </w:tc>
        <w:tc>
          <w:tcPr>
            <w:tcW w:w="7110" w:type="dxa"/>
            <w:tcBorders>
              <w:top w:val="nil"/>
              <w:left w:val="nil"/>
              <w:bottom w:val="nil"/>
              <w:right w:val="nil"/>
            </w:tcBorders>
            <w:tcMar>
              <w:top w:w="0" w:type="dxa"/>
              <w:left w:w="62" w:type="dxa"/>
              <w:bottom w:w="0" w:type="dxa"/>
              <w:right w:w="62" w:type="dxa"/>
            </w:tcMar>
          </w:tcPr>
          <w:p w:rsidR="00000000" w:rsidP="000A212A">
            <w:pPr>
              <w:pStyle w:val="BodyText"/>
              <w:rPr>
                <w:lang w:val="en-NZ"/>
              </w:rPr>
            </w:pPr>
            <w:r w:rsidRPr="000A212A">
              <w:t>Apply manufactured board conversion techniques</w:t>
            </w:r>
          </w:p>
        </w:tc>
      </w:tr>
      <w:tr w:rsidTr="000A212A">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0A212A">
            <w:pPr>
              <w:pStyle w:val="BodyText"/>
              <w:rPr>
                <w:lang w:val="en-NZ"/>
              </w:rPr>
            </w:pPr>
            <w:r w:rsidRPr="000A212A">
              <w:t>MSFFM2012</w:t>
            </w:r>
          </w:p>
        </w:tc>
        <w:tc>
          <w:tcPr>
            <w:tcW w:w="7110" w:type="dxa"/>
            <w:tcBorders>
              <w:top w:val="nil"/>
              <w:left w:val="nil"/>
              <w:bottom w:val="nil"/>
              <w:right w:val="nil"/>
            </w:tcBorders>
            <w:tcMar>
              <w:top w:w="0" w:type="dxa"/>
              <w:left w:w="62" w:type="dxa"/>
              <w:bottom w:w="0" w:type="dxa"/>
              <w:right w:w="62" w:type="dxa"/>
            </w:tcMar>
          </w:tcPr>
          <w:p w:rsidR="00000000" w:rsidP="000A212A">
            <w:pPr>
              <w:pStyle w:val="BodyText"/>
              <w:rPr>
                <w:lang w:val="en-NZ"/>
              </w:rPr>
            </w:pPr>
            <w:r w:rsidRPr="000A212A">
              <w:t>Set up, operate and maintain pressure and clamping machines</w:t>
            </w:r>
          </w:p>
        </w:tc>
      </w:tr>
      <w:tr w:rsidTr="000A212A">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0A212A">
            <w:pPr>
              <w:pStyle w:val="BodyText"/>
              <w:rPr>
                <w:lang w:val="en-NZ"/>
              </w:rPr>
            </w:pPr>
            <w:r w:rsidRPr="000A212A">
              <w:t>MSFKB2001</w:t>
            </w:r>
          </w:p>
        </w:tc>
        <w:tc>
          <w:tcPr>
            <w:tcW w:w="7110" w:type="dxa"/>
            <w:tcBorders>
              <w:top w:val="nil"/>
              <w:left w:val="nil"/>
              <w:bottom w:val="nil"/>
              <w:right w:val="nil"/>
            </w:tcBorders>
            <w:tcMar>
              <w:top w:w="0" w:type="dxa"/>
              <w:left w:w="62" w:type="dxa"/>
              <w:bottom w:w="0" w:type="dxa"/>
              <w:right w:w="62" w:type="dxa"/>
            </w:tcMar>
          </w:tcPr>
          <w:p w:rsidR="00000000" w:rsidP="000A212A">
            <w:pPr>
              <w:pStyle w:val="BodyText"/>
              <w:rPr>
                <w:lang w:val="en-NZ"/>
              </w:rPr>
            </w:pPr>
            <w:r w:rsidRPr="000A212A">
              <w:t>Prepare f</w:t>
            </w:r>
            <w:r w:rsidRPr="000A212A">
              <w:t>or cabinet installation</w:t>
            </w:r>
          </w:p>
        </w:tc>
      </w:tr>
      <w:tr w:rsidTr="000A212A">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0A212A">
            <w:pPr>
              <w:pStyle w:val="BodyText"/>
              <w:rPr>
                <w:lang w:val="en-NZ"/>
              </w:rPr>
            </w:pPr>
            <w:r w:rsidRPr="000A212A">
              <w:t>MSFKB2002</w:t>
            </w:r>
          </w:p>
        </w:tc>
        <w:tc>
          <w:tcPr>
            <w:tcW w:w="7110" w:type="dxa"/>
            <w:tcBorders>
              <w:top w:val="nil"/>
              <w:left w:val="nil"/>
              <w:bottom w:val="nil"/>
              <w:right w:val="nil"/>
            </w:tcBorders>
            <w:tcMar>
              <w:top w:w="0" w:type="dxa"/>
              <w:left w:w="62" w:type="dxa"/>
              <w:bottom w:w="0" w:type="dxa"/>
              <w:right w:w="62" w:type="dxa"/>
            </w:tcMar>
          </w:tcPr>
          <w:p w:rsidR="00000000" w:rsidP="000A212A">
            <w:pPr>
              <w:pStyle w:val="BodyText"/>
              <w:rPr>
                <w:lang w:val="en-NZ"/>
              </w:rPr>
            </w:pPr>
            <w:r w:rsidRPr="000A212A">
              <w:t xml:space="preserve">Provide assistance in cabinet installation </w:t>
            </w:r>
          </w:p>
        </w:tc>
      </w:tr>
      <w:tr w:rsidTr="000A212A">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0A212A">
            <w:pPr>
              <w:pStyle w:val="BodyText"/>
              <w:rPr>
                <w:lang w:val="en-NZ"/>
              </w:rPr>
            </w:pPr>
            <w:r w:rsidRPr="000A212A">
              <w:t>MSS402001</w:t>
            </w:r>
          </w:p>
        </w:tc>
        <w:tc>
          <w:tcPr>
            <w:tcW w:w="7110" w:type="dxa"/>
            <w:tcBorders>
              <w:top w:val="nil"/>
              <w:left w:val="nil"/>
              <w:bottom w:val="nil"/>
              <w:right w:val="nil"/>
            </w:tcBorders>
            <w:tcMar>
              <w:top w:w="0" w:type="dxa"/>
              <w:left w:w="62" w:type="dxa"/>
              <w:bottom w:w="0" w:type="dxa"/>
              <w:right w:w="62" w:type="dxa"/>
            </w:tcMar>
          </w:tcPr>
          <w:p w:rsidR="00000000" w:rsidP="000A212A">
            <w:pPr>
              <w:pStyle w:val="BodyText"/>
              <w:rPr>
                <w:lang w:val="en-NZ"/>
              </w:rPr>
            </w:pPr>
            <w:r w:rsidRPr="000A212A">
              <w:t>Apply competitive manufacturing practices</w:t>
            </w:r>
          </w:p>
        </w:tc>
      </w:tr>
      <w:tr w:rsidTr="000A212A">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0A212A">
            <w:pPr>
              <w:pStyle w:val="BodyText"/>
              <w:rPr>
                <w:lang w:val="en-NZ"/>
              </w:rPr>
            </w:pPr>
            <w:r w:rsidRPr="000A212A">
              <w:t>MSS402002</w:t>
            </w:r>
          </w:p>
        </w:tc>
        <w:tc>
          <w:tcPr>
            <w:tcW w:w="7110" w:type="dxa"/>
            <w:tcBorders>
              <w:top w:val="nil"/>
              <w:left w:val="nil"/>
              <w:bottom w:val="nil"/>
              <w:right w:val="nil"/>
            </w:tcBorders>
            <w:tcMar>
              <w:top w:w="0" w:type="dxa"/>
              <w:left w:w="62" w:type="dxa"/>
              <w:bottom w:w="0" w:type="dxa"/>
              <w:right w:w="62" w:type="dxa"/>
            </w:tcMar>
          </w:tcPr>
          <w:p w:rsidR="00000000" w:rsidP="000A212A">
            <w:pPr>
              <w:pStyle w:val="BodyText"/>
              <w:rPr>
                <w:lang w:val="en-NZ"/>
              </w:rPr>
            </w:pPr>
            <w:r w:rsidRPr="000A212A">
              <w:t>Sustain process improvements</w:t>
            </w:r>
          </w:p>
        </w:tc>
      </w:tr>
      <w:tr w:rsidTr="000A212A">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0A212A">
            <w:pPr>
              <w:pStyle w:val="BodyText"/>
              <w:rPr>
                <w:lang w:val="en-NZ"/>
              </w:rPr>
            </w:pPr>
            <w:r w:rsidRPr="000A212A">
              <w:t>MSS402020</w:t>
            </w:r>
          </w:p>
        </w:tc>
        <w:tc>
          <w:tcPr>
            <w:tcW w:w="7110" w:type="dxa"/>
            <w:tcBorders>
              <w:top w:val="nil"/>
              <w:left w:val="nil"/>
              <w:bottom w:val="nil"/>
              <w:right w:val="nil"/>
            </w:tcBorders>
            <w:tcMar>
              <w:top w:w="0" w:type="dxa"/>
              <w:left w:w="62" w:type="dxa"/>
              <w:bottom w:w="0" w:type="dxa"/>
              <w:right w:w="62" w:type="dxa"/>
            </w:tcMar>
          </w:tcPr>
          <w:p w:rsidR="00000000" w:rsidP="000A212A">
            <w:pPr>
              <w:pStyle w:val="BodyText"/>
              <w:rPr>
                <w:lang w:val="en-NZ"/>
              </w:rPr>
            </w:pPr>
            <w:r w:rsidRPr="000A212A">
              <w:t>Apply quick changeover procedures</w:t>
            </w:r>
          </w:p>
        </w:tc>
      </w:tr>
      <w:tr w:rsidTr="000A212A">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0A212A">
            <w:pPr>
              <w:pStyle w:val="BodyText"/>
              <w:rPr>
                <w:lang w:val="en-NZ"/>
              </w:rPr>
            </w:pPr>
            <w:r w:rsidRPr="000A212A">
              <w:t>MSS402010</w:t>
            </w:r>
          </w:p>
        </w:tc>
        <w:tc>
          <w:tcPr>
            <w:tcW w:w="7110" w:type="dxa"/>
            <w:tcBorders>
              <w:top w:val="nil"/>
              <w:left w:val="nil"/>
              <w:bottom w:val="nil"/>
              <w:right w:val="nil"/>
            </w:tcBorders>
            <w:tcMar>
              <w:top w:w="0" w:type="dxa"/>
              <w:left w:w="62" w:type="dxa"/>
              <w:bottom w:w="0" w:type="dxa"/>
              <w:right w:w="62" w:type="dxa"/>
            </w:tcMar>
          </w:tcPr>
          <w:p w:rsidR="00000000" w:rsidP="000A212A">
            <w:pPr>
              <w:pStyle w:val="BodyText"/>
              <w:rPr>
                <w:lang w:val="en-NZ"/>
              </w:rPr>
            </w:pPr>
            <w:r w:rsidRPr="000A212A">
              <w:t>Manage the impact of change on own work</w:t>
            </w:r>
          </w:p>
        </w:tc>
      </w:tr>
      <w:tr w:rsidTr="000A212A">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0A212A">
            <w:pPr>
              <w:pStyle w:val="BodyText"/>
              <w:rPr>
                <w:lang w:val="en-NZ"/>
              </w:rPr>
            </w:pPr>
            <w:r w:rsidRPr="000A212A">
              <w:t>MSS402050</w:t>
            </w:r>
          </w:p>
        </w:tc>
        <w:tc>
          <w:tcPr>
            <w:tcW w:w="7110" w:type="dxa"/>
            <w:tcBorders>
              <w:top w:val="nil"/>
              <w:left w:val="nil"/>
              <w:bottom w:val="nil"/>
              <w:right w:val="nil"/>
            </w:tcBorders>
            <w:tcMar>
              <w:top w:w="0" w:type="dxa"/>
              <w:left w:w="62" w:type="dxa"/>
              <w:bottom w:w="0" w:type="dxa"/>
              <w:right w:w="62" w:type="dxa"/>
            </w:tcMar>
          </w:tcPr>
          <w:p w:rsidR="00000000" w:rsidP="000A212A">
            <w:pPr>
              <w:pStyle w:val="BodyText"/>
              <w:rPr>
                <w:lang w:val="en-NZ"/>
              </w:rPr>
            </w:pPr>
            <w:r w:rsidRPr="000A212A">
              <w:t>Monitor process capability</w:t>
            </w:r>
          </w:p>
        </w:tc>
      </w:tr>
      <w:tr w:rsidTr="000A212A">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0A212A">
            <w:pPr>
              <w:pStyle w:val="BodyText"/>
              <w:rPr>
                <w:lang w:val="en-NZ"/>
              </w:rPr>
            </w:pPr>
            <w:r w:rsidRPr="000A212A">
              <w:t>MSS402051</w:t>
            </w:r>
          </w:p>
        </w:tc>
        <w:tc>
          <w:tcPr>
            <w:tcW w:w="7110" w:type="dxa"/>
            <w:tcBorders>
              <w:top w:val="nil"/>
              <w:left w:val="nil"/>
              <w:bottom w:val="nil"/>
              <w:right w:val="nil"/>
            </w:tcBorders>
            <w:tcMar>
              <w:top w:w="0" w:type="dxa"/>
              <w:left w:w="62" w:type="dxa"/>
              <w:bottom w:w="0" w:type="dxa"/>
              <w:right w:w="62" w:type="dxa"/>
            </w:tcMar>
          </w:tcPr>
          <w:p w:rsidR="00000000" w:rsidP="000A212A">
            <w:pPr>
              <w:pStyle w:val="BodyText"/>
              <w:rPr>
                <w:lang w:val="en-NZ"/>
              </w:rPr>
            </w:pPr>
            <w:r w:rsidRPr="000A212A">
              <w:t>Apply quality standards</w:t>
            </w:r>
          </w:p>
        </w:tc>
      </w:tr>
      <w:tr w:rsidTr="000A212A">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0A212A">
            <w:pPr>
              <w:pStyle w:val="BodyText"/>
              <w:rPr>
                <w:lang w:val="en-NZ"/>
              </w:rPr>
            </w:pPr>
            <w:r w:rsidRPr="000A212A">
              <w:t>MSS402081</w:t>
            </w:r>
          </w:p>
        </w:tc>
        <w:tc>
          <w:tcPr>
            <w:tcW w:w="7110" w:type="dxa"/>
            <w:tcBorders>
              <w:top w:val="nil"/>
              <w:left w:val="nil"/>
              <w:bottom w:val="nil"/>
              <w:right w:val="nil"/>
            </w:tcBorders>
            <w:tcMar>
              <w:top w:w="0" w:type="dxa"/>
              <w:left w:w="62" w:type="dxa"/>
              <w:bottom w:w="0" w:type="dxa"/>
              <w:right w:w="62" w:type="dxa"/>
            </w:tcMar>
          </w:tcPr>
          <w:p w:rsidR="00000000" w:rsidRPr="000A212A" w:rsidP="000A212A">
            <w:pPr>
              <w:pStyle w:val="BodyText"/>
            </w:pPr>
            <w:r w:rsidRPr="000A212A">
              <w:t>Contribute to the application of a proactive maintenance strategy</w:t>
            </w:r>
          </w:p>
        </w:tc>
      </w:tr>
    </w:tbl>
    <w:p w:rsidR="00000000" w:rsidRPr="000A212A" w:rsidP="000A212A">
      <w:pPr>
        <w:pStyle w:val="BodyText"/>
      </w:pPr>
    </w:p>
    <w:p w:rsidR="00000000" w:rsidRPr="000A212A" w:rsidP="00ED7356">
      <w:pPr>
        <w:pStyle w:val="Heading4"/>
      </w:pPr>
      <w:r w:rsidRPr="000A212A">
        <w:rPr>
          <w:rStyle w:val="SpecialBold"/>
        </w:rPr>
        <w:t xml:space="preserve">Group C </w:t>
      </w:r>
    </w:p>
    <w:p w:rsidR="00000000" w:rsidRPr="000A212A" w:rsidP="00ED7356">
      <w:pPr>
        <w:pStyle w:val="BodyText"/>
      </w:pPr>
      <w:r w:rsidRPr="000A212A">
        <w:t>Up to</w:t>
      </w:r>
      <w:r w:rsidRPr="000A212A">
        <w:rPr>
          <w:rStyle w:val="SpecialBold"/>
        </w:rPr>
        <w:t xml:space="preserve"> three (3)</w:t>
      </w:r>
      <w:r w:rsidRPr="000A212A">
        <w:t xml:space="preserve"> relevant units may be chosen from other or units available in this Training Package, other endorsed Training Packages and accredited courses. Those units must be aligned at Certificate II level (maximum 3 units) or Certificate III level (maximum 1 unit).</w:t>
      </w:r>
    </w:p>
    <w:p w:rsidR="00000000" w:rsidRPr="000A212A" w:rsidP="00ED7356">
      <w:pPr>
        <w:pStyle w:val="BodyText"/>
      </w:pPr>
      <w:r w:rsidRPr="000A212A">
        <w:t>Units selected from other Training Packages and accredited courses via Group C must be relevant to the qualification outcome and not duplicate units available within this qualification.</w:t>
      </w:r>
    </w:p>
    <w:p w:rsidR="00000000" w:rsidRPr="000A212A" w:rsidP="000A212A">
      <w:pPr>
        <w:pStyle w:val="Heading1"/>
      </w:pPr>
      <w:bookmarkStart w:id="5" w:name="O_1202276"/>
      <w:bookmarkEnd w:id="5"/>
      <w:r w:rsidRPr="000A212A">
        <w:t>Qualification Mapping Information</w:t>
      </w:r>
    </w:p>
    <w:p w:rsidR="00000000" w:rsidRPr="000A212A" w:rsidP="00ED7356">
      <w:pPr>
        <w:pStyle w:val="List"/>
      </w:pPr>
      <w:r w:rsidRPr="000A212A">
        <w:t>Release 7. Impor</w:t>
      </w:r>
      <w:r w:rsidRPr="000A212A">
        <w:t>ted units and metadata updated.</w:t>
      </w:r>
    </w:p>
    <w:p w:rsidR="00000000" w:rsidRPr="000A212A" w:rsidP="00ED7356">
      <w:pPr>
        <w:pStyle w:val="List"/>
      </w:pPr>
      <w:r w:rsidRPr="000A212A">
        <w:t>Release 6. Imported units updated. Equivalent.</w:t>
      </w:r>
    </w:p>
    <w:p w:rsidR="00000000" w:rsidRPr="000A212A" w:rsidP="00ED7356">
      <w:pPr>
        <w:pStyle w:val="BodyText"/>
      </w:pPr>
      <w:r w:rsidRPr="000A212A">
        <w:t>Release 5 - Qualification Descriptor adjusted to reflect target group - no change to qualification.</w:t>
      </w:r>
    </w:p>
    <w:p w:rsidR="00000000" w:rsidRPr="000A212A" w:rsidP="00ED7356">
      <w:pPr>
        <w:pStyle w:val="BodyText"/>
      </w:pPr>
      <w:r w:rsidRPr="000A212A">
        <w:t>Release 4 – Group A selection corrected. Additional information in qualificat</w:t>
      </w:r>
      <w:r w:rsidRPr="000A212A">
        <w:t>ion descriptor. Imported units updated. Equivalent.</w:t>
      </w:r>
    </w:p>
    <w:p w:rsidR="00000000" w:rsidRPr="000A212A" w:rsidP="00ED7356">
      <w:pPr>
        <w:pStyle w:val="BodyText"/>
      </w:pPr>
      <w:r w:rsidRPr="000A212A">
        <w:t>Release 3 - Imported units updated.  Equivalent.</w:t>
      </w:r>
    </w:p>
    <w:p w:rsidR="00000000" w:rsidRPr="000A212A" w:rsidP="00ED7356">
      <w:pPr>
        <w:pStyle w:val="BodyText"/>
      </w:pPr>
      <w:r w:rsidRPr="000A212A">
        <w:t>Release 2 - Unit title corrected for MSFFM2010. No change in outcomes.</w:t>
      </w:r>
    </w:p>
    <w:p w:rsidR="00000000" w:rsidRPr="000A212A" w:rsidP="00ED7356">
      <w:pPr>
        <w:pStyle w:val="BodyText"/>
      </w:pPr>
      <w:r w:rsidRPr="000A212A">
        <w:t xml:space="preserve">Release 1 - Supersedes and is based on LMF20309 Certificate II in Furniture Making. </w:t>
      </w:r>
      <w:r w:rsidRPr="000A212A">
        <w:t>Outcomes are equivalent.</w:t>
      </w:r>
    </w:p>
    <w:p w:rsidR="00000000" w:rsidRPr="000A212A" w:rsidP="000A212A">
      <w:pPr>
        <w:pStyle w:val="Heading1"/>
      </w:pPr>
      <w:bookmarkStart w:id="6" w:name="O_1202281"/>
      <w:bookmarkEnd w:id="6"/>
      <w:r w:rsidRPr="000A212A">
        <w:t>Links</w:t>
      </w:r>
    </w:p>
    <w:p w:rsidR="00000000" w:rsidRPr="000A212A" w:rsidP="00ED7356">
      <w:pPr>
        <w:pStyle w:val="BodyText"/>
      </w:pPr>
      <w:r w:rsidRPr="000A212A">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922AE4">
        <w:rPr>
          <w:rStyle w:val="Hyperlink"/>
        </w:rPr>
        <w:t>https://vetnet.gov.au/Pages/TrainingDocs.aspx?q=0601ab95-583a-4e93-b2d4-cfb27b03ed73</w:t>
      </w:r>
      <w:r>
        <w:fldChar w:fldCharType="end"/>
      </w:r>
    </w:p>
    <w:p w:rsidR="00000000" w:rsidRPr="000A212A" w:rsidP="000A212A"/>
    <w:sectPr w:rsidSect="000A212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1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12A" w:rsidRPr="00ED7356" w:rsidP="00ED735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1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356" w:rsidP="000A212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D7356" w:rsidP="000A212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D7356" w:rsidP="000A212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1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35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A212A" w:rsidRPr="00ED7356" w:rsidP="00ED735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1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356" w:rsidRPr="002D2AF8" w:rsidP="000A212A">
    <w:pPr>
      <w:pStyle w:val="Header"/>
      <w:framePr w:wrap="around"/>
    </w:pPr>
    <w:r>
      <w:fldChar w:fldCharType="begin"/>
    </w:r>
    <w:r>
      <w:instrText xml:space="preserve"> TITLE   \* MERGEFORMAT </w:instrText>
    </w:r>
    <w:r>
      <w:fldChar w:fldCharType="separate"/>
    </w:r>
    <w:r>
      <w:t>MSF20313 Certificate II in Furniture Making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ED7356" w:rsidP="000A212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E9CD22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010237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212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A212A"/>
    <w:pPr>
      <w:spacing w:before="360" w:after="60"/>
      <w:outlineLvl w:val="0"/>
    </w:pPr>
    <w:rPr>
      <w:sz w:val="32"/>
    </w:rPr>
  </w:style>
  <w:style w:type="paragraph" w:styleId="Heading2">
    <w:name w:val="heading 2"/>
    <w:basedOn w:val="HeadingBase"/>
    <w:next w:val="BodyText"/>
    <w:link w:val="Heading2Char"/>
    <w:qFormat/>
    <w:rsid w:val="000A212A"/>
    <w:pPr>
      <w:keepLines/>
      <w:spacing w:before="240" w:after="120"/>
      <w:outlineLvl w:val="1"/>
    </w:pPr>
    <w:rPr>
      <w:sz w:val="28"/>
      <w:szCs w:val="40"/>
    </w:rPr>
  </w:style>
  <w:style w:type="paragraph" w:styleId="Heading3">
    <w:name w:val="heading 3"/>
    <w:basedOn w:val="HeadingBase"/>
    <w:next w:val="BodyText"/>
    <w:link w:val="Heading3Char"/>
    <w:qFormat/>
    <w:rsid w:val="000A212A"/>
    <w:pPr>
      <w:spacing w:before="180" w:after="120"/>
      <w:outlineLvl w:val="2"/>
    </w:pPr>
    <w:rPr>
      <w:spacing w:val="-10"/>
      <w:kern w:val="32"/>
    </w:rPr>
  </w:style>
  <w:style w:type="paragraph" w:styleId="Heading4">
    <w:name w:val="heading 4"/>
    <w:basedOn w:val="HeadingBase"/>
    <w:next w:val="BodyText"/>
    <w:link w:val="Heading4Char"/>
    <w:qFormat/>
    <w:rsid w:val="000A212A"/>
    <w:pPr>
      <w:spacing w:before="160" w:after="120"/>
      <w:outlineLvl w:val="3"/>
    </w:pPr>
    <w:rPr>
      <w:sz w:val="22"/>
    </w:rPr>
  </w:style>
  <w:style w:type="paragraph" w:styleId="Heading5">
    <w:name w:val="heading 5"/>
    <w:basedOn w:val="HeadingBase"/>
    <w:next w:val="Normal"/>
    <w:link w:val="Heading5Char"/>
    <w:qFormat/>
    <w:rsid w:val="000A212A"/>
    <w:pPr>
      <w:spacing w:before="80"/>
      <w:outlineLvl w:val="4"/>
    </w:pPr>
    <w:rPr>
      <w:color w:val="918585"/>
      <w:sz w:val="20"/>
    </w:rPr>
  </w:style>
  <w:style w:type="paragraph" w:styleId="Heading6">
    <w:name w:val="heading 6"/>
    <w:basedOn w:val="HeadingBase"/>
    <w:next w:val="Normal"/>
    <w:link w:val="Heading6Char"/>
    <w:qFormat/>
    <w:rsid w:val="000A212A"/>
    <w:pPr>
      <w:spacing w:before="60"/>
      <w:outlineLvl w:val="5"/>
    </w:pPr>
    <w:rPr>
      <w:color w:val="918585"/>
      <w:sz w:val="20"/>
    </w:rPr>
  </w:style>
  <w:style w:type="paragraph" w:styleId="Heading7">
    <w:name w:val="heading 7"/>
    <w:basedOn w:val="Normal"/>
    <w:next w:val="Normal"/>
    <w:link w:val="Heading7Char"/>
    <w:qFormat/>
    <w:rsid w:val="000A212A"/>
    <w:pPr>
      <w:ind w:left="720"/>
      <w:outlineLvl w:val="6"/>
    </w:pPr>
    <w:rPr>
      <w:i/>
    </w:rPr>
  </w:style>
  <w:style w:type="paragraph" w:styleId="Heading8">
    <w:name w:val="heading 8"/>
    <w:basedOn w:val="Normal"/>
    <w:next w:val="Normal"/>
    <w:link w:val="Heading8Char"/>
    <w:qFormat/>
    <w:rsid w:val="000A212A"/>
    <w:pPr>
      <w:ind w:left="720"/>
      <w:outlineLvl w:val="7"/>
    </w:pPr>
    <w:rPr>
      <w:i/>
    </w:rPr>
  </w:style>
  <w:style w:type="paragraph" w:styleId="Heading9">
    <w:name w:val="heading 9"/>
    <w:basedOn w:val="Normal"/>
    <w:next w:val="Normal"/>
    <w:link w:val="Heading9Char"/>
    <w:qFormat/>
    <w:rsid w:val="000A212A"/>
    <w:pPr>
      <w:ind w:left="720"/>
      <w:outlineLvl w:val="8"/>
    </w:pPr>
    <w:rPr>
      <w:i/>
    </w:rPr>
  </w:style>
  <w:style w:type="character" w:default="1" w:styleId="DefaultParagraphFont">
    <w:name w:val="Default Paragraph Font"/>
    <w:uiPriority w:val="1"/>
    <w:unhideWhenUsed/>
    <w:rsid w:val="000A21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212A"/>
  </w:style>
  <w:style w:type="character" w:customStyle="1" w:styleId="Heading1Char">
    <w:name w:val="Heading 1 Char"/>
    <w:basedOn w:val="DefaultParagraphFont"/>
    <w:link w:val="Heading1"/>
    <w:rsid w:val="000A212A"/>
    <w:rPr>
      <w:rFonts w:ascii="Times New Roman" w:eastAsia="Times New Roman" w:hAnsi="Times New Roman" w:cs="Times New Roman"/>
      <w:b/>
      <w:sz w:val="32"/>
      <w:szCs w:val="20"/>
      <w:lang w:eastAsia="en-US"/>
    </w:rPr>
  </w:style>
  <w:style w:type="paragraph" w:styleId="BodyText">
    <w:name w:val="Body Text"/>
    <w:basedOn w:val="Normal"/>
    <w:link w:val="BodyTextChar"/>
    <w:rsid w:val="000A212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A212A"/>
    <w:rPr>
      <w:rFonts w:ascii="Times New Roman" w:eastAsia="Times New Roman" w:hAnsi="Times New Roman" w:cs="Times New Roman"/>
      <w:sz w:val="24"/>
      <w:lang w:eastAsia="en-US"/>
    </w:rPr>
  </w:style>
  <w:style w:type="paragraph" w:styleId="ListBullet">
    <w:name w:val="List Bullet"/>
    <w:basedOn w:val="List"/>
    <w:rsid w:val="000A212A"/>
    <w:pPr>
      <w:numPr>
        <w:numId w:val="11"/>
      </w:numPr>
      <w:tabs>
        <w:tab w:val="clear" w:pos="340"/>
      </w:tabs>
      <w:spacing w:before="40" w:after="40"/>
    </w:pPr>
  </w:style>
  <w:style w:type="character" w:customStyle="1" w:styleId="SpecialBold">
    <w:name w:val="Special Bold"/>
    <w:basedOn w:val="DefaultParagraphFont"/>
    <w:rsid w:val="000A212A"/>
    <w:rPr>
      <w:b/>
      <w:spacing w:val="0"/>
    </w:rPr>
  </w:style>
  <w:style w:type="paragraph" w:customStyle="1" w:styleId="SuperHeading">
    <w:name w:val="SuperHeading"/>
    <w:basedOn w:val="Normal"/>
    <w:rsid w:val="000A212A"/>
    <w:pPr>
      <w:spacing w:before="240" w:after="120"/>
      <w:outlineLvl w:val="0"/>
    </w:pPr>
    <w:rPr>
      <w:rFonts w:ascii="Times New Roman" w:hAnsi="Times New Roman"/>
      <w:b/>
      <w:sz w:val="32"/>
    </w:rPr>
  </w:style>
  <w:style w:type="paragraph" w:customStyle="1" w:styleId="AllowPageBreak">
    <w:name w:val="AllowPageBreak"/>
    <w:rsid w:val="000A212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A21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21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21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21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21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212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A212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A212A"/>
    <w:rPr>
      <w:rFonts w:ascii="Courier New" w:eastAsia="Times New Roman" w:hAnsi="Courier New" w:cs="Times New Roman"/>
      <w:i/>
      <w:szCs w:val="20"/>
      <w:lang w:eastAsia="en-US"/>
    </w:rPr>
  </w:style>
  <w:style w:type="paragraph" w:customStyle="1" w:styleId="HeadingBase">
    <w:name w:val="Heading Base"/>
    <w:rsid w:val="000A21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212A"/>
    <w:pPr>
      <w:tabs>
        <w:tab w:val="right" w:leader="dot" w:pos="9072"/>
      </w:tabs>
      <w:ind w:left="567"/>
    </w:pPr>
    <w:rPr>
      <w:szCs w:val="22"/>
    </w:rPr>
  </w:style>
  <w:style w:type="paragraph" w:customStyle="1" w:styleId="TOCBase">
    <w:name w:val="TOC Base"/>
    <w:rsid w:val="000A21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212A"/>
    <w:pPr>
      <w:tabs>
        <w:tab w:val="right" w:leader="dot" w:pos="9072"/>
      </w:tabs>
      <w:spacing w:before="40" w:after="40"/>
      <w:ind w:left="284"/>
    </w:pPr>
    <w:rPr>
      <w:rFonts w:ascii="Times New Roman" w:hAnsi="Times New Roman"/>
    </w:rPr>
  </w:style>
  <w:style w:type="paragraph" w:styleId="TOC1">
    <w:name w:val="toc 1"/>
    <w:basedOn w:val="TOCBase"/>
    <w:next w:val="Normal"/>
    <w:rsid w:val="000A212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A21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212A"/>
    <w:rPr>
      <w:rFonts w:ascii="Times New Roman" w:eastAsia="Times New Roman" w:hAnsi="Times New Roman" w:cs="Times New Roman"/>
      <w:sz w:val="16"/>
      <w:lang w:eastAsia="en-US"/>
    </w:rPr>
  </w:style>
  <w:style w:type="paragraph" w:styleId="Title">
    <w:name w:val="Title"/>
    <w:basedOn w:val="HeadingBase"/>
    <w:link w:val="TitleChar"/>
    <w:qFormat/>
    <w:rsid w:val="000A212A"/>
    <w:pPr>
      <w:spacing w:before="5040"/>
      <w:jc w:val="center"/>
    </w:pPr>
    <w:rPr>
      <w:sz w:val="48"/>
      <w:szCs w:val="72"/>
      <w:lang w:val="en-US"/>
    </w:rPr>
  </w:style>
  <w:style w:type="character" w:customStyle="1" w:styleId="TitleChar">
    <w:name w:val="Title Char"/>
    <w:basedOn w:val="DefaultParagraphFont"/>
    <w:link w:val="Title"/>
    <w:rsid w:val="000A21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212A"/>
    <w:pPr>
      <w:tabs>
        <w:tab w:val="left" w:pos="3600"/>
        <w:tab w:val="left" w:pos="3958"/>
      </w:tabs>
    </w:pPr>
  </w:style>
  <w:style w:type="paragraph" w:styleId="List">
    <w:name w:val="List"/>
    <w:basedOn w:val="BodyText"/>
    <w:next w:val="BodyText"/>
    <w:rsid w:val="000A212A"/>
    <w:pPr>
      <w:tabs>
        <w:tab w:val="left" w:pos="340"/>
      </w:tabs>
      <w:spacing w:before="60" w:after="60"/>
      <w:ind w:left="340" w:hanging="340"/>
    </w:pPr>
  </w:style>
  <w:style w:type="paragraph" w:customStyle="1" w:styleId="Note">
    <w:name w:val="Note"/>
    <w:basedOn w:val="BodyText"/>
    <w:rsid w:val="000A212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A212A"/>
    <w:pPr>
      <w:framePr w:wrap="auto" w:hAnchor="text" w:y="6049"/>
    </w:pPr>
    <w:rPr>
      <w:color w:val="000000"/>
      <w:sz w:val="40"/>
    </w:rPr>
  </w:style>
  <w:style w:type="paragraph" w:customStyle="1" w:styleId="TOCTitle">
    <w:name w:val="TOCTitle"/>
    <w:basedOn w:val="Heading1"/>
    <w:rsid w:val="000A212A"/>
    <w:pPr>
      <w:spacing w:after="240"/>
      <w:jc w:val="center"/>
      <w:outlineLvl w:val="9"/>
    </w:pPr>
    <w:rPr>
      <w:caps/>
    </w:rPr>
  </w:style>
  <w:style w:type="paragraph" w:customStyle="1" w:styleId="Version">
    <w:name w:val="Version"/>
    <w:rsid w:val="000A212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A212A"/>
    <w:pPr>
      <w:numPr>
        <w:numId w:val="12"/>
      </w:numPr>
      <w:tabs>
        <w:tab w:val="clear" w:pos="680"/>
      </w:tabs>
    </w:pPr>
  </w:style>
  <w:style w:type="paragraph" w:styleId="Index1">
    <w:name w:val="index 1"/>
    <w:basedOn w:val="Normal"/>
    <w:next w:val="Normal"/>
    <w:semiHidden/>
    <w:rsid w:val="000A212A"/>
    <w:pPr>
      <w:keepNext w:val="0"/>
      <w:tabs>
        <w:tab w:val="right" w:pos="4176"/>
      </w:tabs>
      <w:ind w:left="198" w:hanging="198"/>
    </w:pPr>
    <w:rPr>
      <w:rFonts w:ascii="Garamond" w:hAnsi="Garamond"/>
    </w:rPr>
  </w:style>
  <w:style w:type="paragraph" w:styleId="IndexHeading">
    <w:name w:val="index heading"/>
    <w:basedOn w:val="Normal"/>
    <w:next w:val="Index1"/>
    <w:semiHidden/>
    <w:rsid w:val="000A212A"/>
    <w:pPr>
      <w:spacing w:before="120" w:after="120"/>
    </w:pPr>
    <w:rPr>
      <w:rFonts w:ascii="Arial" w:hAnsi="Arial"/>
      <w:b/>
      <w:color w:val="918585"/>
      <w:sz w:val="24"/>
    </w:rPr>
  </w:style>
  <w:style w:type="paragraph" w:styleId="Header">
    <w:name w:val="header"/>
    <w:basedOn w:val="Normal"/>
    <w:link w:val="HeaderChar"/>
    <w:rsid w:val="000A21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212A"/>
    <w:rPr>
      <w:rFonts w:ascii="Times New Roman" w:eastAsia="Times New Roman" w:hAnsi="Times New Roman" w:cs="Times New Roman"/>
      <w:sz w:val="16"/>
      <w:szCs w:val="20"/>
      <w:lang w:val="en-GB" w:eastAsia="en-US"/>
    </w:rPr>
  </w:style>
  <w:style w:type="paragraph" w:customStyle="1" w:styleId="Chapter">
    <w:name w:val="Chapter"/>
    <w:basedOn w:val="Normal"/>
    <w:rsid w:val="000A212A"/>
    <w:pPr>
      <w:spacing w:before="240"/>
    </w:pPr>
    <w:rPr>
      <w:rFonts w:ascii="Times New Roman" w:hAnsi="Times New Roman"/>
      <w:smallCaps/>
      <w:spacing w:val="80"/>
      <w:sz w:val="28"/>
    </w:rPr>
  </w:style>
  <w:style w:type="paragraph" w:customStyle="1" w:styleId="InChapter">
    <w:name w:val="InChapter"/>
    <w:basedOn w:val="Heading3"/>
    <w:rsid w:val="000A212A"/>
    <w:pPr>
      <w:spacing w:after="240"/>
      <w:outlineLvl w:val="9"/>
    </w:pPr>
    <w:rPr>
      <w:noProof/>
    </w:rPr>
  </w:style>
  <w:style w:type="paragraph" w:styleId="Index2">
    <w:name w:val="index 2"/>
    <w:basedOn w:val="Normal"/>
    <w:next w:val="Normal"/>
    <w:semiHidden/>
    <w:rsid w:val="000A212A"/>
    <w:pPr>
      <w:tabs>
        <w:tab w:val="right" w:pos="4176"/>
      </w:tabs>
      <w:ind w:left="568" w:hanging="284"/>
    </w:pPr>
    <w:rPr>
      <w:rFonts w:ascii="Garamond" w:hAnsi="Garamond"/>
    </w:rPr>
  </w:style>
  <w:style w:type="paragraph" w:customStyle="1" w:styleId="Byline">
    <w:name w:val="Byline"/>
    <w:rsid w:val="000A21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212A"/>
    <w:pPr>
      <w:tabs>
        <w:tab w:val="clear" w:pos="3600"/>
        <w:tab w:val="clear" w:pos="3958"/>
      </w:tabs>
      <w:jc w:val="right"/>
    </w:pPr>
  </w:style>
  <w:style w:type="character" w:styleId="Emphasis">
    <w:name w:val="Emphasis"/>
    <w:basedOn w:val="DefaultParagraphFont"/>
    <w:qFormat/>
    <w:rsid w:val="000A212A"/>
    <w:rPr>
      <w:i/>
    </w:rPr>
  </w:style>
  <w:style w:type="paragraph" w:styleId="Caption">
    <w:name w:val="caption"/>
    <w:basedOn w:val="BodyText"/>
    <w:next w:val="Normal"/>
    <w:qFormat/>
    <w:rsid w:val="000A212A"/>
    <w:pPr>
      <w:framePr w:w="2268" w:hSpace="181" w:vSpace="181" w:wrap="around" w:vAnchor="text" w:hAnchor="page" w:x="1135" w:y="285" w:anchorLock="1"/>
    </w:pPr>
    <w:rPr>
      <w:i/>
    </w:rPr>
  </w:style>
  <w:style w:type="paragraph" w:customStyle="1" w:styleId="MiniTOCTitle">
    <w:name w:val="MiniTOCTitle"/>
    <w:basedOn w:val="Heading4"/>
    <w:rsid w:val="000A212A"/>
    <w:pPr>
      <w:spacing w:before="240"/>
      <w:outlineLvl w:val="9"/>
    </w:pPr>
    <w:rPr>
      <w:noProof/>
      <w:sz w:val="24"/>
    </w:rPr>
  </w:style>
  <w:style w:type="paragraph" w:customStyle="1" w:styleId="MiniTOCItem">
    <w:name w:val="MiniTOCItem"/>
    <w:basedOn w:val="ListBullet"/>
    <w:rsid w:val="000A212A"/>
    <w:pPr>
      <w:numPr>
        <w:numId w:val="0"/>
      </w:numPr>
      <w:tabs>
        <w:tab w:val="right" w:leader="dot" w:pos="6521"/>
      </w:tabs>
      <w:spacing w:before="0" w:after="0"/>
    </w:pPr>
  </w:style>
  <w:style w:type="paragraph" w:customStyle="1" w:styleId="TOFTitle">
    <w:name w:val="TOFTitle"/>
    <w:basedOn w:val="TOCTitle"/>
    <w:rsid w:val="000A212A"/>
  </w:style>
  <w:style w:type="paragraph" w:styleId="TableofFigures">
    <w:name w:val="table of figures"/>
    <w:basedOn w:val="Normal"/>
    <w:next w:val="Normal"/>
    <w:semiHidden/>
    <w:rsid w:val="000A212A"/>
    <w:pPr>
      <w:tabs>
        <w:tab w:val="right" w:leader="dot" w:pos="9072"/>
      </w:tabs>
      <w:ind w:left="970" w:hanging="403"/>
    </w:pPr>
    <w:rPr>
      <w:rFonts w:ascii="Times New Roman" w:hAnsi="Times New Roman"/>
      <w:b/>
    </w:rPr>
  </w:style>
  <w:style w:type="paragraph" w:styleId="ListNumber">
    <w:name w:val="List Number"/>
    <w:basedOn w:val="List"/>
    <w:rsid w:val="000A212A"/>
    <w:pPr>
      <w:numPr>
        <w:numId w:val="14"/>
      </w:numPr>
      <w:tabs>
        <w:tab w:val="clear" w:pos="340"/>
      </w:tabs>
    </w:pPr>
  </w:style>
  <w:style w:type="character" w:customStyle="1" w:styleId="WingdingSymbols">
    <w:name w:val="Wingding Symbols"/>
    <w:rsid w:val="000A212A"/>
    <w:rPr>
      <w:rFonts w:ascii="Wingdings" w:hAnsi="Wingdings"/>
    </w:rPr>
  </w:style>
  <w:style w:type="paragraph" w:customStyle="1" w:styleId="TableHeading">
    <w:name w:val="Table Heading"/>
    <w:basedOn w:val="HeadingBase"/>
    <w:rsid w:val="000A212A"/>
    <w:pPr>
      <w:keepLines/>
      <w:pBdr>
        <w:bottom w:val="single" w:sz="6" w:space="1" w:color="918585"/>
      </w:pBdr>
      <w:spacing w:before="240"/>
    </w:pPr>
  </w:style>
  <w:style w:type="character" w:customStyle="1" w:styleId="HotSpot">
    <w:name w:val="HotSpot"/>
    <w:rsid w:val="000A212A"/>
    <w:rPr>
      <w:color w:val="0033CC"/>
      <w:u w:val="none"/>
    </w:rPr>
  </w:style>
  <w:style w:type="paragraph" w:customStyle="1" w:styleId="BodyTextRight">
    <w:name w:val="Body Text Right"/>
    <w:basedOn w:val="BodyText"/>
    <w:rsid w:val="000A212A"/>
    <w:pPr>
      <w:spacing w:before="0" w:after="0"/>
      <w:jc w:val="right"/>
    </w:pPr>
  </w:style>
  <w:style w:type="paragraph" w:styleId="Index3">
    <w:name w:val="index 3"/>
    <w:basedOn w:val="ListNumber2"/>
    <w:next w:val="Normal"/>
    <w:semiHidden/>
    <w:rsid w:val="000A212A"/>
    <w:pPr>
      <w:numPr>
        <w:numId w:val="0"/>
      </w:numPr>
      <w:tabs>
        <w:tab w:val="right" w:leader="dot" w:pos="4176"/>
      </w:tabs>
    </w:pPr>
  </w:style>
  <w:style w:type="paragraph" w:styleId="ListNumber2">
    <w:name w:val="List Number 2"/>
    <w:basedOn w:val="List2"/>
    <w:rsid w:val="000A212A"/>
    <w:pPr>
      <w:numPr>
        <w:numId w:val="9"/>
      </w:numPr>
      <w:tabs>
        <w:tab w:val="clear" w:pos="1060"/>
      </w:tabs>
    </w:pPr>
  </w:style>
  <w:style w:type="paragraph" w:customStyle="1" w:styleId="MarginNote">
    <w:name w:val="Margin Note"/>
    <w:basedOn w:val="BodyText"/>
    <w:rsid w:val="000A21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21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212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A212A"/>
    <w:rPr>
      <w:sz w:val="32"/>
    </w:rPr>
  </w:style>
  <w:style w:type="paragraph" w:customStyle="1" w:styleId="HeadingProcedure">
    <w:name w:val="Heading Procedure"/>
    <w:basedOn w:val="HeadingBase"/>
    <w:next w:val="Normal"/>
    <w:rsid w:val="000A212A"/>
    <w:pPr>
      <w:tabs>
        <w:tab w:val="left" w:pos="0"/>
      </w:tabs>
      <w:spacing w:before="120" w:after="60"/>
    </w:pPr>
    <w:rPr>
      <w:i/>
      <w:color w:val="918585"/>
      <w:sz w:val="22"/>
    </w:rPr>
  </w:style>
  <w:style w:type="paragraph" w:customStyle="1" w:styleId="TableBodyText">
    <w:name w:val="Table Body Text"/>
    <w:basedOn w:val="BodyText"/>
    <w:rsid w:val="000A212A"/>
    <w:pPr>
      <w:spacing w:before="60" w:after="60"/>
    </w:pPr>
  </w:style>
  <w:style w:type="paragraph" w:styleId="ListContinue">
    <w:name w:val="List Continue"/>
    <w:basedOn w:val="List"/>
    <w:rsid w:val="000A212A"/>
    <w:pPr>
      <w:ind w:firstLine="0"/>
    </w:pPr>
  </w:style>
  <w:style w:type="paragraph" w:customStyle="1" w:styleId="ListNote">
    <w:name w:val="List Note"/>
    <w:basedOn w:val="List"/>
    <w:rsid w:val="000A212A"/>
    <w:pPr>
      <w:pBdr>
        <w:top w:val="single" w:sz="6" w:space="2" w:color="918585"/>
        <w:bottom w:val="single" w:sz="6" w:space="2" w:color="918585"/>
      </w:pBdr>
      <w:tabs>
        <w:tab w:val="left" w:pos="1021"/>
      </w:tabs>
      <w:ind w:firstLine="0"/>
    </w:pPr>
  </w:style>
  <w:style w:type="paragraph" w:customStyle="1" w:styleId="Warning">
    <w:name w:val="Warning"/>
    <w:basedOn w:val="BodyText"/>
    <w:rsid w:val="000A212A"/>
    <w:pPr>
      <w:shd w:val="clear" w:color="auto" w:fill="D9D9D9"/>
      <w:tabs>
        <w:tab w:val="left" w:pos="992"/>
      </w:tabs>
      <w:ind w:left="119" w:right="119"/>
    </w:pPr>
    <w:rPr>
      <w:sz w:val="20"/>
    </w:rPr>
  </w:style>
  <w:style w:type="paragraph" w:customStyle="1" w:styleId="MarginIcons">
    <w:name w:val="Margin Icons"/>
    <w:basedOn w:val="BodyText"/>
    <w:rsid w:val="000A21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212A"/>
    <w:rPr>
      <w:rFonts w:ascii="Courier New" w:hAnsi="Courier New"/>
    </w:rPr>
  </w:style>
  <w:style w:type="paragraph" w:customStyle="1" w:styleId="NoteBullet">
    <w:name w:val="Note Bullet"/>
    <w:basedOn w:val="Note"/>
    <w:rsid w:val="000A212A"/>
    <w:pPr>
      <w:tabs>
        <w:tab w:val="clear" w:pos="680"/>
      </w:tabs>
      <w:spacing w:before="60" w:after="60"/>
    </w:pPr>
  </w:style>
  <w:style w:type="paragraph" w:customStyle="1" w:styleId="SubHeading2">
    <w:name w:val="SubHeading2"/>
    <w:basedOn w:val="HeadingBase"/>
    <w:rsid w:val="000A212A"/>
    <w:pPr>
      <w:spacing w:before="240" w:after="60"/>
    </w:pPr>
    <w:rPr>
      <w:sz w:val="20"/>
    </w:rPr>
  </w:style>
  <w:style w:type="paragraph" w:customStyle="1" w:styleId="SubHeading1">
    <w:name w:val="SubHeading1"/>
    <w:basedOn w:val="HeadingBase"/>
    <w:rsid w:val="000A212A"/>
    <w:pPr>
      <w:spacing w:before="240" w:after="60"/>
    </w:pPr>
    <w:rPr>
      <w:color w:val="918585"/>
      <w:sz w:val="22"/>
    </w:rPr>
  </w:style>
  <w:style w:type="paragraph" w:customStyle="1" w:styleId="SideHeading">
    <w:name w:val="Side Heading"/>
    <w:basedOn w:val="HeadingBase"/>
    <w:rsid w:val="000A21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212A"/>
    <w:pPr>
      <w:numPr>
        <w:numId w:val="10"/>
      </w:numPr>
    </w:pPr>
  </w:style>
  <w:style w:type="paragraph" w:styleId="PlainText">
    <w:name w:val="Plain Text"/>
    <w:basedOn w:val="Normal"/>
    <w:link w:val="PlainTextChar"/>
    <w:rsid w:val="000A212A"/>
    <w:rPr>
      <w:sz w:val="20"/>
    </w:rPr>
  </w:style>
  <w:style w:type="character" w:customStyle="1" w:styleId="PlainTextChar">
    <w:name w:val="Plain Text Char"/>
    <w:basedOn w:val="DefaultParagraphFont"/>
    <w:link w:val="PlainText"/>
    <w:rsid w:val="000A212A"/>
    <w:rPr>
      <w:rFonts w:ascii="Courier New" w:eastAsia="Times New Roman" w:hAnsi="Courier New" w:cs="Times New Roman"/>
      <w:sz w:val="20"/>
      <w:szCs w:val="20"/>
      <w:lang w:eastAsia="en-US"/>
    </w:rPr>
  </w:style>
  <w:style w:type="character" w:customStyle="1" w:styleId="MenuOption">
    <w:name w:val="Menu Option"/>
    <w:basedOn w:val="DefaultParagraphFont"/>
    <w:rsid w:val="000A212A"/>
    <w:rPr>
      <w:b/>
      <w:smallCaps/>
    </w:rPr>
  </w:style>
  <w:style w:type="paragraph" w:customStyle="1" w:styleId="TableListNumber">
    <w:name w:val="Table List Number"/>
    <w:basedOn w:val="ListNumber"/>
    <w:rsid w:val="000A212A"/>
    <w:pPr>
      <w:numPr>
        <w:numId w:val="0"/>
      </w:numPr>
    </w:pPr>
  </w:style>
  <w:style w:type="paragraph" w:styleId="TOC4">
    <w:name w:val="toc 4"/>
    <w:basedOn w:val="TOCBase"/>
    <w:next w:val="Normal"/>
    <w:semiHidden/>
    <w:rsid w:val="000A212A"/>
    <w:pPr>
      <w:tabs>
        <w:tab w:val="right" w:leader="dot" w:pos="9071"/>
      </w:tabs>
      <w:ind w:left="1701"/>
    </w:pPr>
  </w:style>
  <w:style w:type="paragraph" w:customStyle="1" w:styleId="ListAlpha">
    <w:name w:val="List Alpha"/>
    <w:basedOn w:val="List"/>
    <w:rsid w:val="000A212A"/>
    <w:pPr>
      <w:numPr>
        <w:numId w:val="8"/>
      </w:numPr>
    </w:pPr>
  </w:style>
  <w:style w:type="paragraph" w:customStyle="1" w:styleId="ListAlpha2">
    <w:name w:val="List Alpha 2"/>
    <w:basedOn w:val="List2"/>
    <w:rsid w:val="000A212A"/>
    <w:pPr>
      <w:numPr>
        <w:numId w:val="7"/>
      </w:numPr>
    </w:pPr>
  </w:style>
  <w:style w:type="paragraph" w:styleId="List2">
    <w:name w:val="List 2"/>
    <w:basedOn w:val="BodyText"/>
    <w:rsid w:val="000A212A"/>
    <w:pPr>
      <w:tabs>
        <w:tab w:val="left" w:pos="680"/>
      </w:tabs>
      <w:spacing w:before="60" w:after="60"/>
      <w:ind w:left="680" w:hanging="340"/>
    </w:pPr>
  </w:style>
  <w:style w:type="paragraph" w:styleId="List3">
    <w:name w:val="List 3"/>
    <w:basedOn w:val="BodyText"/>
    <w:rsid w:val="000A212A"/>
    <w:pPr>
      <w:tabs>
        <w:tab w:val="left" w:pos="1021"/>
      </w:tabs>
      <w:spacing w:before="60" w:after="60"/>
      <w:ind w:left="1020" w:hanging="340"/>
    </w:pPr>
  </w:style>
  <w:style w:type="paragraph" w:styleId="List4">
    <w:name w:val="List 4"/>
    <w:basedOn w:val="BodyText"/>
    <w:rsid w:val="000A212A"/>
    <w:pPr>
      <w:tabs>
        <w:tab w:val="left" w:pos="1361"/>
      </w:tabs>
      <w:spacing w:before="60" w:after="60"/>
      <w:ind w:left="1361" w:hanging="340"/>
    </w:pPr>
  </w:style>
  <w:style w:type="paragraph" w:styleId="List5">
    <w:name w:val="List 5"/>
    <w:basedOn w:val="BodyText"/>
    <w:rsid w:val="000A212A"/>
    <w:pPr>
      <w:tabs>
        <w:tab w:val="left" w:pos="1701"/>
      </w:tabs>
      <w:spacing w:before="60" w:after="60"/>
      <w:ind w:left="1701" w:hanging="340"/>
    </w:pPr>
  </w:style>
  <w:style w:type="paragraph" w:styleId="ListBullet3">
    <w:name w:val="List Bullet 3"/>
    <w:basedOn w:val="List3"/>
    <w:rsid w:val="000A212A"/>
    <w:pPr>
      <w:numPr>
        <w:numId w:val="13"/>
      </w:numPr>
      <w:tabs>
        <w:tab w:val="clear" w:pos="1021"/>
      </w:tabs>
      <w:ind w:left="1037" w:hanging="357"/>
    </w:pPr>
  </w:style>
  <w:style w:type="paragraph" w:styleId="ListBullet4">
    <w:name w:val="List Bullet 4"/>
    <w:basedOn w:val="List4"/>
    <w:rsid w:val="000A212A"/>
    <w:pPr>
      <w:numPr>
        <w:numId w:val="2"/>
      </w:numPr>
      <w:tabs>
        <w:tab w:val="clear" w:pos="1361"/>
      </w:tabs>
    </w:pPr>
  </w:style>
  <w:style w:type="paragraph" w:styleId="ListBullet5">
    <w:name w:val="List Bullet 5"/>
    <w:basedOn w:val="List5"/>
    <w:rsid w:val="000A212A"/>
    <w:pPr>
      <w:numPr>
        <w:numId w:val="3"/>
      </w:numPr>
    </w:pPr>
  </w:style>
  <w:style w:type="paragraph" w:styleId="ListContinue2">
    <w:name w:val="List Continue 2"/>
    <w:basedOn w:val="List2"/>
    <w:rsid w:val="000A212A"/>
    <w:pPr>
      <w:ind w:firstLine="0"/>
    </w:pPr>
  </w:style>
  <w:style w:type="paragraph" w:styleId="ListContinue3">
    <w:name w:val="List Continue 3"/>
    <w:basedOn w:val="List3"/>
    <w:rsid w:val="000A212A"/>
    <w:pPr>
      <w:ind w:left="1021" w:firstLine="0"/>
    </w:pPr>
  </w:style>
  <w:style w:type="paragraph" w:styleId="ListContinue4">
    <w:name w:val="List Continue 4"/>
    <w:basedOn w:val="List4"/>
    <w:rsid w:val="000A212A"/>
    <w:pPr>
      <w:ind w:firstLine="0"/>
    </w:pPr>
  </w:style>
  <w:style w:type="paragraph" w:styleId="ListContinue5">
    <w:name w:val="List Continue 5"/>
    <w:basedOn w:val="List5"/>
    <w:rsid w:val="000A212A"/>
    <w:pPr>
      <w:ind w:firstLine="0"/>
    </w:pPr>
  </w:style>
  <w:style w:type="paragraph" w:styleId="ListNumber3">
    <w:name w:val="List Number 3"/>
    <w:basedOn w:val="List3"/>
    <w:rsid w:val="000A212A"/>
    <w:pPr>
      <w:numPr>
        <w:numId w:val="4"/>
      </w:numPr>
    </w:pPr>
  </w:style>
  <w:style w:type="paragraph" w:styleId="ListNumber4">
    <w:name w:val="List Number 4"/>
    <w:basedOn w:val="List4"/>
    <w:rsid w:val="000A212A"/>
    <w:pPr>
      <w:numPr>
        <w:numId w:val="5"/>
      </w:numPr>
    </w:pPr>
  </w:style>
  <w:style w:type="paragraph" w:styleId="ListNumber5">
    <w:name w:val="List Number 5"/>
    <w:basedOn w:val="List5"/>
    <w:rsid w:val="000A212A"/>
    <w:pPr>
      <w:numPr>
        <w:numId w:val="6"/>
      </w:numPr>
    </w:pPr>
  </w:style>
  <w:style w:type="paragraph" w:styleId="BlockText">
    <w:name w:val="Block Text"/>
    <w:basedOn w:val="Normal"/>
    <w:rsid w:val="000A212A"/>
    <w:pPr>
      <w:spacing w:after="120"/>
      <w:ind w:left="1440" w:right="1440"/>
    </w:pPr>
  </w:style>
  <w:style w:type="character" w:customStyle="1" w:styleId="Subscript">
    <w:name w:val="Subscript"/>
    <w:basedOn w:val="DefaultParagraphFont"/>
    <w:rsid w:val="000A212A"/>
    <w:rPr>
      <w:sz w:val="16"/>
      <w:vertAlign w:val="subscript"/>
    </w:rPr>
  </w:style>
  <w:style w:type="character" w:customStyle="1" w:styleId="Superscript">
    <w:name w:val="Superscript"/>
    <w:basedOn w:val="DefaultParagraphFont"/>
    <w:rsid w:val="000A212A"/>
    <w:rPr>
      <w:sz w:val="16"/>
      <w:vertAlign w:val="superscript"/>
    </w:rPr>
  </w:style>
  <w:style w:type="character" w:customStyle="1" w:styleId="Symbols">
    <w:name w:val="Symbols"/>
    <w:basedOn w:val="DefaultParagraphFont"/>
    <w:rsid w:val="000A212A"/>
    <w:rPr>
      <w:rFonts w:ascii="Symbol" w:hAnsi="Symbol"/>
    </w:rPr>
  </w:style>
  <w:style w:type="character" w:customStyle="1" w:styleId="MenuOptions">
    <w:name w:val="Menu Options"/>
    <w:basedOn w:val="DefaultParagraphFont"/>
    <w:rsid w:val="000A212A"/>
    <w:rPr>
      <w:rFonts w:ascii="Arial Narrow" w:hAnsi="Arial Narrow"/>
      <w:smallCaps/>
    </w:rPr>
  </w:style>
  <w:style w:type="character" w:customStyle="1" w:styleId="Buttons">
    <w:name w:val="Buttons"/>
    <w:basedOn w:val="DefaultParagraphFont"/>
    <w:rsid w:val="000A212A"/>
    <w:rPr>
      <w:b/>
    </w:rPr>
  </w:style>
  <w:style w:type="character" w:customStyle="1" w:styleId="Underlined">
    <w:name w:val="Underlined"/>
    <w:basedOn w:val="DefaultParagraphFont"/>
    <w:rsid w:val="000A212A"/>
    <w:rPr>
      <w:u w:val="single"/>
    </w:rPr>
  </w:style>
  <w:style w:type="paragraph" w:customStyle="1" w:styleId="TableBodyTextRight">
    <w:name w:val="Table Body Text Right"/>
    <w:basedOn w:val="TableBodyText"/>
    <w:rsid w:val="000A212A"/>
    <w:pPr>
      <w:widowControl w:val="0"/>
      <w:autoSpaceDE w:val="0"/>
      <w:autoSpaceDN w:val="0"/>
      <w:adjustRightInd w:val="0"/>
      <w:jc w:val="right"/>
    </w:pPr>
    <w:rPr>
      <w:rFonts w:cs="Arial"/>
      <w:szCs w:val="18"/>
    </w:rPr>
  </w:style>
  <w:style w:type="paragraph" w:customStyle="1" w:styleId="CopyrightText">
    <w:name w:val="Copyright Text"/>
    <w:basedOn w:val="BodyText"/>
    <w:rsid w:val="000A212A"/>
    <w:rPr>
      <w:sz w:val="18"/>
    </w:rPr>
  </w:style>
  <w:style w:type="paragraph" w:customStyle="1" w:styleId="BodySmallRight">
    <w:name w:val="Body Small Right"/>
    <w:basedOn w:val="BodyTextRight"/>
    <w:rsid w:val="000A212A"/>
    <w:rPr>
      <w:sz w:val="18"/>
      <w:szCs w:val="18"/>
    </w:rPr>
  </w:style>
  <w:style w:type="paragraph" w:customStyle="1" w:styleId="MarginEdition">
    <w:name w:val="Margin Edition"/>
    <w:basedOn w:val="MarginNote"/>
    <w:rsid w:val="000A212A"/>
    <w:pPr>
      <w:spacing w:before="0" w:after="0"/>
    </w:pPr>
    <w:rPr>
      <w:rFonts w:ascii="Times New Roman" w:hAnsi="Times New Roman"/>
      <w:color w:val="999999"/>
    </w:rPr>
  </w:style>
  <w:style w:type="paragraph" w:customStyle="1" w:styleId="Spacer">
    <w:name w:val="Spacer"/>
    <w:basedOn w:val="Normal"/>
    <w:rsid w:val="000A212A"/>
    <w:rPr>
      <w:sz w:val="2"/>
      <w:szCs w:val="2"/>
    </w:rPr>
  </w:style>
  <w:style w:type="character" w:customStyle="1" w:styleId="Small">
    <w:name w:val="Small"/>
    <w:basedOn w:val="DefaultParagraphFont"/>
    <w:rsid w:val="000A212A"/>
    <w:rPr>
      <w:sz w:val="16"/>
    </w:rPr>
  </w:style>
  <w:style w:type="paragraph" w:customStyle="1" w:styleId="WideTable">
    <w:name w:val="Wide Table"/>
    <w:basedOn w:val="Normal"/>
    <w:rsid w:val="000A212A"/>
    <w:pPr>
      <w:ind w:left="-1418"/>
    </w:pPr>
    <w:rPr>
      <w:sz w:val="2"/>
      <w:szCs w:val="2"/>
    </w:rPr>
  </w:style>
  <w:style w:type="character" w:styleId="PageNumber">
    <w:name w:val="page number"/>
    <w:basedOn w:val="DefaultParagraphFont"/>
    <w:rsid w:val="000A212A"/>
  </w:style>
  <w:style w:type="paragraph" w:styleId="Quote">
    <w:name w:val="Quote"/>
    <w:basedOn w:val="Heading1"/>
    <w:link w:val="QuoteChar"/>
    <w:qFormat/>
    <w:rsid w:val="000A212A"/>
    <w:rPr>
      <w:b w:val="0"/>
      <w:sz w:val="72"/>
      <w:szCs w:val="72"/>
      <w:lang w:val="en-NZ"/>
    </w:rPr>
  </w:style>
  <w:style w:type="character" w:customStyle="1" w:styleId="QuoteChar">
    <w:name w:val="Quote Char"/>
    <w:basedOn w:val="DefaultParagraphFont"/>
    <w:link w:val="Quote"/>
    <w:rsid w:val="000A21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212A"/>
    <w:pPr>
      <w:pageBreakBefore/>
    </w:pPr>
  </w:style>
  <w:style w:type="paragraph" w:customStyle="1" w:styleId="Border">
    <w:name w:val="Border"/>
    <w:basedOn w:val="Normal"/>
    <w:qFormat/>
    <w:rsid w:val="000A21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212A"/>
    <w:rPr>
      <w:b/>
      <w:bCs/>
      <w:i/>
      <w:iCs/>
      <w:color w:val="auto"/>
    </w:rPr>
  </w:style>
  <w:style w:type="paragraph" w:styleId="IntenseQuote">
    <w:name w:val="Intense Quote"/>
    <w:basedOn w:val="Normal"/>
    <w:next w:val="Normal"/>
    <w:link w:val="IntenseQuoteChar"/>
    <w:uiPriority w:val="30"/>
    <w:qFormat/>
    <w:rsid w:val="000A21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212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A212A"/>
    <w:rPr>
      <w:smallCaps/>
      <w:color w:val="auto"/>
      <w:u w:val="single"/>
    </w:rPr>
  </w:style>
  <w:style w:type="character" w:styleId="IntenseReference">
    <w:name w:val="Intense Reference"/>
    <w:basedOn w:val="DefaultParagraphFont"/>
    <w:uiPriority w:val="32"/>
    <w:qFormat/>
    <w:rsid w:val="000A212A"/>
    <w:rPr>
      <w:b/>
      <w:bCs/>
      <w:smallCaps/>
      <w:color w:val="auto"/>
      <w:spacing w:val="5"/>
      <w:u w:val="single"/>
    </w:rPr>
  </w:style>
  <w:style w:type="paragraph" w:customStyle="1" w:styleId="2ColumnHeading">
    <w:name w:val="2Column Heading"/>
    <w:basedOn w:val="BodyText"/>
    <w:qFormat/>
    <w:rsid w:val="000A212A"/>
    <w:pPr>
      <w:spacing w:after="60"/>
      <w:ind w:left="-2268"/>
    </w:pPr>
    <w:rPr>
      <w:b/>
    </w:rPr>
  </w:style>
  <w:style w:type="paragraph" w:customStyle="1" w:styleId="Heading1TOC">
    <w:name w:val="Heading1 TOC"/>
    <w:basedOn w:val="Normal"/>
    <w:qFormat/>
    <w:rsid w:val="000A212A"/>
    <w:pPr>
      <w:spacing w:before="240" w:after="120"/>
    </w:pPr>
    <w:rPr>
      <w:rFonts w:ascii="Times New Roman" w:hAnsi="Times New Roman"/>
      <w:b/>
      <w:sz w:val="32"/>
    </w:rPr>
  </w:style>
  <w:style w:type="paragraph" w:customStyle="1" w:styleId="Heading2TOC">
    <w:name w:val="Heading2 TOC"/>
    <w:basedOn w:val="Normal"/>
    <w:qFormat/>
    <w:rsid w:val="000A212A"/>
    <w:pPr>
      <w:spacing w:before="240" w:after="60"/>
    </w:pPr>
    <w:rPr>
      <w:rFonts w:ascii="Times New Roman" w:hAnsi="Times New Roman"/>
      <w:b/>
      <w:sz w:val="28"/>
    </w:rPr>
  </w:style>
  <w:style w:type="character" w:customStyle="1" w:styleId="Underline">
    <w:name w:val="Underline"/>
    <w:basedOn w:val="DefaultParagraphFont"/>
    <w:qFormat/>
    <w:rsid w:val="000A212A"/>
    <w:rPr>
      <w:u w:val="single"/>
    </w:rPr>
  </w:style>
  <w:style w:type="character" w:customStyle="1" w:styleId="BoldandItalics">
    <w:name w:val="Bold and Italics"/>
    <w:qFormat/>
    <w:rsid w:val="000A212A"/>
    <w:rPr>
      <w:b/>
      <w:i/>
      <w:u w:val="none"/>
    </w:rPr>
  </w:style>
  <w:style w:type="paragraph" w:styleId="BalloonText">
    <w:name w:val="Balloon Text"/>
    <w:basedOn w:val="Normal"/>
    <w:link w:val="BalloonTextChar"/>
    <w:rsid w:val="000A212A"/>
    <w:rPr>
      <w:rFonts w:ascii="Tahoma" w:hAnsi="Tahoma" w:cs="Tahoma"/>
      <w:sz w:val="16"/>
      <w:szCs w:val="16"/>
    </w:rPr>
  </w:style>
  <w:style w:type="character" w:customStyle="1" w:styleId="BalloonTextChar">
    <w:name w:val="Balloon Text Char"/>
    <w:basedOn w:val="DefaultParagraphFont"/>
    <w:link w:val="BalloonText"/>
    <w:rsid w:val="000A212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A212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A212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A212A"/>
    <w:rPr>
      <w:b/>
      <w:color w:val="660033"/>
      <w:spacing w:val="0"/>
    </w:rPr>
  </w:style>
  <w:style w:type="paragraph" w:customStyle="1" w:styleId="Nameditemlist">
    <w:name w:val="Named item list"/>
    <w:basedOn w:val="BodyText"/>
    <w:qFormat/>
    <w:rsid w:val="000A212A"/>
    <w:pPr>
      <w:tabs>
        <w:tab w:val="left" w:pos="2835"/>
      </w:tabs>
      <w:ind w:left="2835" w:hanging="2835"/>
    </w:pPr>
  </w:style>
  <w:style w:type="paragraph" w:customStyle="1" w:styleId="BodyTextnopadding">
    <w:name w:val="Body Text no padding"/>
    <w:basedOn w:val="BodyText"/>
    <w:qFormat/>
    <w:rsid w:val="000A212A"/>
    <w:pPr>
      <w:spacing w:before="0" w:after="0"/>
    </w:pPr>
  </w:style>
  <w:style w:type="paragraph" w:customStyle="1" w:styleId="BodyTextBold">
    <w:name w:val="Body Text Bold"/>
    <w:basedOn w:val="BodyText"/>
    <w:qFormat/>
    <w:rsid w:val="000A212A"/>
    <w:rPr>
      <w:b/>
    </w:rPr>
  </w:style>
  <w:style w:type="character" w:styleId="Hyperlink">
    <w:name w:val="Hyperlink"/>
    <w:basedOn w:val="DefaultParagraphFont"/>
    <w:uiPriority w:val="99"/>
    <w:unhideWhenUsed/>
    <w:rsid w:val="00ED735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900</Words>
  <Characters>5446</Characters>
  <Application>Microsoft Office Word</Application>
  <DocSecurity>0</DocSecurity>
  <Lines>181</Lines>
  <Paragraphs>141</Paragraphs>
  <ScaleCrop>false</ScaleCrop>
  <Company>Author-it Software Corporation Ltd.</Company>
  <LinksUpToDate>false</LinksUpToDate>
  <CharactersWithSpaces>6205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MSF20313 Certificate II in Furniture Making</dc:title>
  <dc:subject>Approved</dc:subject>
  <dc:creator>Innovation and Business Skills Australia</dc:creator>
  <cp:keywords>Release 7</cp:keywords>
  <dc:description>Review Date: 12 April 2008</dc:description>
  <cp:lastModifiedBy>HSD_TPCMSd.prod</cp:lastModifiedBy>
  <cp:revision>3</cp:revision>
  <dcterms:created xsi:type="dcterms:W3CDTF">2022-06-03T18:08:46Z</dcterms:created>
  <dcterms:modified xsi:type="dcterms:W3CDTF">2022-06-02T21:29:00Z</dcterms:modified>
</cp:coreProperties>
</file>